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9ACF" w14:textId="4EC0B17E" w:rsidR="005A4D0A" w:rsidRPr="00DE1CA9" w:rsidRDefault="005A4D0A" w:rsidP="3183EE90">
      <w:pPr>
        <w:pStyle w:val="Programme"/>
        <w:rPr>
          <w:sz w:val="28"/>
          <w:szCs w:val="28"/>
        </w:rPr>
      </w:pPr>
      <w:r w:rsidRPr="008F5AA7">
        <w:rPr>
          <w:noProof/>
          <w:color w:val="FFFFFF" w:themeColor="background1"/>
        </w:rPr>
        <mc:AlternateContent>
          <mc:Choice Requires="wps">
            <w:drawing>
              <wp:anchor distT="0" distB="0" distL="114300" distR="114300" simplePos="0" relativeHeight="251658240" behindDoc="1" locked="0" layoutInCell="1" allowOverlap="0" wp14:anchorId="2E7AEA7D" wp14:editId="650962E4">
                <wp:simplePos x="0" y="0"/>
                <wp:positionH relativeFrom="page">
                  <wp:posOffset>15240</wp:posOffset>
                </wp:positionH>
                <wp:positionV relativeFrom="margin">
                  <wp:posOffset>-1060781</wp:posOffset>
                </wp:positionV>
                <wp:extent cx="7535545" cy="11508105"/>
                <wp:effectExtent l="0" t="0" r="8255" b="0"/>
                <wp:wrapNone/>
                <wp:docPr id="1115175793" name="Rectangle: Single Corner Rounded 11151757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535545" cy="11508105"/>
                        </a:xfrm>
                        <a:prstGeom prst="round1Rect">
                          <a:avLst>
                            <a:gd name="adj" fmla="val 9406"/>
                          </a:avLst>
                        </a:prstGeom>
                        <a:solidFill>
                          <a:srgbClr val="23085A"/>
                        </a:solidFill>
                        <a:ln>
                          <a:noFill/>
                        </a:ln>
                        <a:extLst>
                          <a:ext uri="{FAA26D3D-D897-4be2-8F04-BA451C77F1D7}">
                            <ma14:placeholderFlag xmlns:w16sdtfl="http://schemas.microsoft.com/office/word/2024/wordml/sdtformatlock" xmlns:pic="http://schemas.openxmlformats.org/drawingml/2006/picture" xmlns:a14="http://schemas.microsoft.com/office/drawing/2010/main" xmlns:adec="http://schemas.microsoft.com/office/drawing/2017/decorativ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w16sdtfl="http://schemas.microsoft.com/office/word/2024/wordml/sdtformatlock" xmlns:pic="http://schemas.openxmlformats.org/drawingml/2006/picture" xmlns:a14="http://schemas.microsoft.com/office/drawing/2010/main" xmlns:adec="http://schemas.microsoft.com/office/drawing/2017/decorativ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2167C" id="Rectangle: Single Corner Rounded 1115175793" o:spid="_x0000_s1026" alt="&quot;&quot;" style="position:absolute;margin-left:1.2pt;margin-top:-83.55pt;width:593.35pt;height:906.1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coordsize="7535545,1150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" o:allowoverlap="f" path="m,l6826752,v391456,,708793,317337,708793,708793l7535545,11508105,,11508105,,xe" fillcolor="#23085a" stroked="f">
                <v:path arrowok="t" o:connecttype="custom" o:connectlocs="0,0;6826752,0;7535545,708793;7535545,11508105;0,11508105;0,0" o:connectangles="0,0,0,0,0,0"/>
                <w10:wrap anchorx="page" anchory="margin"/>
              </v:shape>
            </w:pict>
          </mc:Fallback>
        </mc:AlternateContent>
      </w:r>
      <w:r>
        <w:rPr>
          <w:noProof/>
          <w:color w:val="FFFFFF" w:themeColor="background1"/>
        </w:rPr>
        <w:drawing>
          <wp:anchor distT="0" distB="0" distL="114300" distR="114300" simplePos="0" relativeHeight="251658242" behindDoc="1" locked="0" layoutInCell="1" allowOverlap="1" wp14:anchorId="64F1F4AB" wp14:editId="31443231">
            <wp:simplePos x="0" y="0"/>
            <wp:positionH relativeFrom="page">
              <wp:posOffset>3159760</wp:posOffset>
            </wp:positionH>
            <wp:positionV relativeFrom="paragraph">
              <wp:posOffset>4713605</wp:posOffset>
            </wp:positionV>
            <wp:extent cx="4397375" cy="518604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34969" t="23312"/>
                    <a:stretch/>
                  </pic:blipFill>
                  <pic:spPr bwMode="auto">
                    <a:xfrm>
                      <a:off x="0" y="0"/>
                      <a:ext cx="4397375" cy="5186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31E6">
        <w:rPr>
          <w:noProof/>
          <w:color w:val="FFFFFF" w:themeColor="background1"/>
        </w:rPr>
        <mc:AlternateContent>
          <mc:Choice Requires="wps">
            <w:drawing>
              <wp:anchor distT="45720" distB="45720" distL="114300" distR="114300" simplePos="0" relativeHeight="251658241" behindDoc="0" locked="0" layoutInCell="1" allowOverlap="1" wp14:anchorId="20465520" wp14:editId="453C5F80">
                <wp:simplePos x="0" y="0"/>
                <wp:positionH relativeFrom="margin">
                  <wp:align>left</wp:align>
                </wp:positionH>
                <wp:positionV relativeFrom="paragraph">
                  <wp:posOffset>2104901</wp:posOffset>
                </wp:positionV>
                <wp:extent cx="5990590" cy="7001301"/>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7001301"/>
                        </a:xfrm>
                        <a:prstGeom prst="rect">
                          <a:avLst/>
                        </a:prstGeom>
                        <a:noFill/>
                        <a:ln w="9525">
                          <a:noFill/>
                          <a:miter lim="800000"/>
                          <a:headEnd/>
                          <a:tailEnd/>
                        </a:ln>
                      </wps:spPr>
                      <wps:txbx>
                        <w:txbxContent>
                          <w:p w14:paraId="4FEA02D5" w14:textId="2DE73000" w:rsidR="005A4D0A" w:rsidRDefault="005A4D0A" w:rsidP="005A4D0A">
                            <w:r w:rsidRPr="009B0F10">
                              <w:rPr>
                                <w:rFonts w:asciiTheme="majorHAnsi" w:eastAsiaTheme="majorEastAsia" w:hAnsiTheme="majorHAnsi" w:cstheme="majorBidi"/>
                                <w:b/>
                                <w:bCs/>
                                <w:color w:val="FFFFFF" w:themeColor="background1"/>
                                <w:spacing w:val="-10"/>
                                <w:kern w:val="28"/>
                                <w:sz w:val="112"/>
                                <w:szCs w:val="112"/>
                              </w:rPr>
                              <w:t>Call for a</w:t>
                            </w:r>
                            <w:r w:rsidR="00682682">
                              <w:rPr>
                                <w:rFonts w:asciiTheme="majorHAnsi" w:eastAsiaTheme="majorEastAsia" w:hAnsiTheme="majorHAnsi" w:cstheme="majorBidi"/>
                                <w:b/>
                                <w:bCs/>
                                <w:color w:val="FFFFFF" w:themeColor="background1"/>
                                <w:spacing w:val="-10"/>
                                <w:kern w:val="28"/>
                                <w:sz w:val="112"/>
                                <w:szCs w:val="112"/>
                              </w:rPr>
                              <w:t xml:space="preserve"> national</w:t>
                            </w:r>
                            <w:r w:rsidRPr="009B0F10">
                              <w:rPr>
                                <w:rFonts w:asciiTheme="majorHAnsi" w:eastAsiaTheme="majorEastAsia" w:hAnsiTheme="majorHAnsi" w:cstheme="majorBidi"/>
                                <w:b/>
                                <w:bCs/>
                                <w:color w:val="FFFFFF" w:themeColor="background1"/>
                                <w:spacing w:val="-10"/>
                                <w:kern w:val="28"/>
                                <w:sz w:val="112"/>
                                <w:szCs w:val="112"/>
                              </w:rPr>
                              <w:t xml:space="preserve"> Consultant</w:t>
                            </w:r>
                          </w:p>
                          <w:p w14:paraId="5F7B7F97" w14:textId="77777777" w:rsidR="005A4D0A" w:rsidRPr="00E5414E" w:rsidRDefault="005A4D0A" w:rsidP="005A4D0A"/>
                          <w:p w14:paraId="1FDAB85F" w14:textId="77777777" w:rsidR="005A4D0A" w:rsidRDefault="005A4D0A" w:rsidP="005A4D0A">
                            <w:pPr>
                              <w:rPr>
                                <w:rFonts w:ascii="British Council Sans" w:hAnsi="British Council Sans"/>
                                <w:color w:val="FFFFFF" w:themeColor="background1"/>
                                <w:sz w:val="42"/>
                                <w:szCs w:val="42"/>
                              </w:rPr>
                            </w:pPr>
                          </w:p>
                          <w:p w14:paraId="3AA008B5" w14:textId="2684BB64" w:rsidR="005A4D0A" w:rsidRDefault="00FE3734" w:rsidP="005A4D0A">
                            <w:pPr>
                              <w:rPr>
                                <w:color w:val="FFFFFF" w:themeColor="background1"/>
                                <w:sz w:val="42"/>
                                <w:szCs w:val="42"/>
                              </w:rPr>
                            </w:pPr>
                            <w:r w:rsidRPr="00FE3734">
                              <w:rPr>
                                <w:rFonts w:asciiTheme="majorHAnsi" w:hAnsiTheme="majorHAnsi" w:cstheme="majorHAnsi"/>
                                <w:color w:val="FFFFFF" w:themeColor="background1"/>
                                <w:sz w:val="56"/>
                                <w:szCs w:val="56"/>
                              </w:rPr>
                              <w:t>Supporting the development of teacher trainers' resources</w:t>
                            </w:r>
                          </w:p>
                          <w:p w14:paraId="287AE843" w14:textId="77777777" w:rsidR="005A4D0A" w:rsidRPr="008D31E6" w:rsidRDefault="005A4D0A" w:rsidP="005A4D0A">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65520" id="_x0000_t202" coordsize="21600,21600" o:spt="202" path="m,l,21600r21600,l21600,xe">
                <v:stroke joinstyle="miter"/>
                <v:path gradientshapeok="t" o:connecttype="rect"/>
              </v:shapetype>
              <v:shape id="Text Box 217" o:spid="_x0000_s1026" type="#_x0000_t202" style="position:absolute;margin-left:0;margin-top:165.75pt;width:471.7pt;height:551.3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" filled="f" stroked="f">
                <v:textbox>
                  <w:txbxContent>
                    <w:p w14:paraId="4FEA02D5" w14:textId="2DE73000" w:rsidR="005A4D0A" w:rsidRDefault="005A4D0A" w:rsidP="005A4D0A">
                      <w:r w:rsidRPr="009B0F10">
                        <w:rPr>
                          <w:rFonts w:asciiTheme="majorHAnsi" w:eastAsiaTheme="majorEastAsia" w:hAnsiTheme="majorHAnsi" w:cstheme="majorBidi"/>
                          <w:b/>
                          <w:bCs/>
                          <w:color w:val="FFFFFF" w:themeColor="background1"/>
                          <w:spacing w:val="-10"/>
                          <w:kern w:val="28"/>
                          <w:sz w:val="112"/>
                          <w:szCs w:val="112"/>
                        </w:rPr>
                        <w:t>Call for a</w:t>
                      </w:r>
                      <w:r w:rsidR="00682682">
                        <w:rPr>
                          <w:rFonts w:asciiTheme="majorHAnsi" w:eastAsiaTheme="majorEastAsia" w:hAnsiTheme="majorHAnsi" w:cstheme="majorBidi"/>
                          <w:b/>
                          <w:bCs/>
                          <w:color w:val="FFFFFF" w:themeColor="background1"/>
                          <w:spacing w:val="-10"/>
                          <w:kern w:val="28"/>
                          <w:sz w:val="112"/>
                          <w:szCs w:val="112"/>
                        </w:rPr>
                        <w:t xml:space="preserve"> national</w:t>
                      </w:r>
                      <w:r w:rsidRPr="009B0F10">
                        <w:rPr>
                          <w:rFonts w:asciiTheme="majorHAnsi" w:eastAsiaTheme="majorEastAsia" w:hAnsiTheme="majorHAnsi" w:cstheme="majorBidi"/>
                          <w:b/>
                          <w:bCs/>
                          <w:color w:val="FFFFFF" w:themeColor="background1"/>
                          <w:spacing w:val="-10"/>
                          <w:kern w:val="28"/>
                          <w:sz w:val="112"/>
                          <w:szCs w:val="112"/>
                        </w:rPr>
                        <w:t xml:space="preserve"> Consultant</w:t>
                      </w:r>
                    </w:p>
                    <w:p w14:paraId="5F7B7F97" w14:textId="77777777" w:rsidR="005A4D0A" w:rsidRPr="00E5414E" w:rsidRDefault="005A4D0A" w:rsidP="005A4D0A"/>
                    <w:p w14:paraId="1FDAB85F" w14:textId="77777777" w:rsidR="005A4D0A" w:rsidRDefault="005A4D0A" w:rsidP="005A4D0A">
                      <w:pPr>
                        <w:rPr>
                          <w:rFonts w:ascii="British Council Sans" w:hAnsi="British Council Sans"/>
                          <w:color w:val="FFFFFF" w:themeColor="background1"/>
                          <w:sz w:val="42"/>
                          <w:szCs w:val="42"/>
                        </w:rPr>
                      </w:pPr>
                    </w:p>
                    <w:p w14:paraId="3AA008B5" w14:textId="2684BB64" w:rsidR="005A4D0A" w:rsidRDefault="00FE3734" w:rsidP="005A4D0A">
                      <w:pPr>
                        <w:rPr>
                          <w:color w:val="FFFFFF" w:themeColor="background1"/>
                          <w:sz w:val="42"/>
                          <w:szCs w:val="42"/>
                        </w:rPr>
                      </w:pPr>
                      <w:r w:rsidRPr="00FE3734">
                        <w:rPr>
                          <w:rFonts w:asciiTheme="majorHAnsi" w:hAnsiTheme="majorHAnsi" w:cstheme="majorHAnsi"/>
                          <w:color w:val="FFFFFF" w:themeColor="background1"/>
                          <w:sz w:val="56"/>
                          <w:szCs w:val="56"/>
                        </w:rPr>
                        <w:t>Supporting the development of teacher trainers' resources</w:t>
                      </w:r>
                    </w:p>
                    <w:p w14:paraId="287AE843" w14:textId="77777777" w:rsidR="005A4D0A" w:rsidRPr="008D31E6" w:rsidRDefault="005A4D0A" w:rsidP="005A4D0A">
                      <w:pPr>
                        <w:rPr>
                          <w:color w:val="FFFFFF" w:themeColor="background1"/>
                          <w14:textFill>
                            <w14:noFill/>
                          </w14:textFill>
                        </w:rPr>
                      </w:pPr>
                    </w:p>
                  </w:txbxContent>
                </v:textbox>
                <w10:wrap type="square" anchorx="margin"/>
              </v:shape>
            </w:pict>
          </mc:Fallback>
        </mc:AlternateContent>
      </w:r>
      <w:r>
        <w:rPr>
          <w:noProof/>
          <w:color w:val="FFFFFF" w:themeColor="background1"/>
        </w:rPr>
        <w:drawing>
          <wp:anchor distT="0" distB="0" distL="114300" distR="114300" simplePos="0" relativeHeight="251658243" behindDoc="1" locked="0" layoutInCell="1" allowOverlap="1" wp14:anchorId="38289827" wp14:editId="5166162C">
            <wp:simplePos x="0" y="0"/>
            <wp:positionH relativeFrom="margin">
              <wp:posOffset>57785</wp:posOffset>
            </wp:positionH>
            <wp:positionV relativeFrom="paragraph">
              <wp:posOffset>109</wp:posOffset>
            </wp:positionV>
            <wp:extent cx="1952625" cy="562610"/>
            <wp:effectExtent l="0" t="0" r="9525" b="8890"/>
            <wp:wrapTight wrapText="bothSides">
              <wp:wrapPolygon edited="0">
                <wp:start x="211" y="0"/>
                <wp:lineTo x="0" y="2194"/>
                <wp:lineTo x="0" y="19747"/>
                <wp:lineTo x="211" y="21210"/>
                <wp:lineTo x="5900" y="21210"/>
                <wp:lineTo x="21495" y="21210"/>
                <wp:lineTo x="21495" y="731"/>
                <wp:lineTo x="20230" y="0"/>
                <wp:lineTo x="5900" y="0"/>
                <wp:lineTo x="21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5AA7">
        <w:rPr>
          <w:color w:val="FFFFFF" w:themeColor="background1"/>
        </w:rPr>
        <w:t xml:space="preserve"> </w:t>
      </w:r>
    </w:p>
    <w:p w14:paraId="56A2459D" w14:textId="50F254B8" w:rsidR="005A4D0A" w:rsidRPr="00DE1CA9" w:rsidRDefault="005A4D0A" w:rsidP="3183EE90">
      <w:pPr>
        <w:pStyle w:val="Programme"/>
        <w:rPr>
          <w:sz w:val="28"/>
          <w:szCs w:val="28"/>
        </w:rPr>
      </w:pPr>
      <w:r w:rsidRPr="3183EE90">
        <w:rPr>
          <w:color w:val="230858"/>
          <w:sz w:val="28"/>
          <w:szCs w:val="28"/>
        </w:rPr>
        <w:lastRenderedPageBreak/>
        <w:t>Overview of the British Council</w:t>
      </w:r>
    </w:p>
    <w:p w14:paraId="2A5583B5" w14:textId="77777777" w:rsidR="005A4D0A" w:rsidRPr="00D97E9B" w:rsidRDefault="005A4D0A" w:rsidP="005A4D0A">
      <w:pPr>
        <w:spacing w:line="276" w:lineRule="auto"/>
        <w:rPr>
          <w:rFonts w:asciiTheme="majorHAnsi" w:hAnsiTheme="majorHAnsi" w:cstheme="majorHAnsi"/>
        </w:rPr>
      </w:pPr>
      <w:r w:rsidRPr="00D97E9B">
        <w:rPr>
          <w:rFonts w:asciiTheme="majorHAnsi" w:hAnsiTheme="majorHAnsi" w:cstheme="majorHAnsi"/>
        </w:rPr>
        <w:t>We support peace and prosperity by building connections, understanding and trust between people in the UK and countries worldwide.</w:t>
      </w:r>
    </w:p>
    <w:p w14:paraId="2DAA9145" w14:textId="77777777" w:rsidR="005A4D0A" w:rsidRPr="00D97E9B" w:rsidRDefault="005A4D0A" w:rsidP="005A4D0A">
      <w:pPr>
        <w:spacing w:line="276" w:lineRule="auto"/>
        <w:rPr>
          <w:rFonts w:asciiTheme="majorHAnsi" w:hAnsiTheme="majorHAnsi" w:cstheme="majorHAnsi"/>
        </w:rPr>
      </w:pPr>
      <w:r w:rsidRPr="00D97E9B">
        <w:rPr>
          <w:rFonts w:asciiTheme="majorHAnsi" w:hAnsiTheme="majorHAnsi" w:cstheme="majorHAnsi"/>
        </w:rPr>
        <w:t>We uniquely combine the UK’s deep expertise in arts and culture, education and the English language, our global presence and relationships in over 100 countries, our unparalleled access to young people and influencers and our creative sparkle.</w:t>
      </w:r>
    </w:p>
    <w:p w14:paraId="0393C7BB" w14:textId="2D2A99DE" w:rsidR="005A4D0A" w:rsidRPr="00D97E9B" w:rsidRDefault="005A4D0A" w:rsidP="005A4D0A">
      <w:pPr>
        <w:spacing w:line="276" w:lineRule="auto"/>
        <w:rPr>
          <w:rFonts w:asciiTheme="majorHAnsi" w:hAnsiTheme="majorHAnsi" w:cstheme="majorHAnsi"/>
        </w:rPr>
      </w:pPr>
      <w:r w:rsidRPr="00D97E9B">
        <w:rPr>
          <w:rFonts w:asciiTheme="majorHAnsi" w:hAnsiTheme="majorHAnsi" w:cstheme="majorHAnsi"/>
        </w:rPr>
        <w:t>We work directly with individuals to help them gain the skills, confidence and connections to transform their lives and shape a better world in partnership with the UK. We support them to build networks and explore creative ideas, to learn English, to get a high-quality education and to gain internationally recognised qualifications.</w:t>
      </w:r>
    </w:p>
    <w:p w14:paraId="5762053C" w14:textId="77777777" w:rsidR="005A4D0A" w:rsidRPr="00D97E9B" w:rsidRDefault="005A4D0A" w:rsidP="005A4D0A">
      <w:pPr>
        <w:spacing w:line="276" w:lineRule="auto"/>
        <w:rPr>
          <w:rFonts w:asciiTheme="majorHAnsi" w:hAnsiTheme="majorHAnsi" w:cstheme="majorHAnsi"/>
        </w:rPr>
      </w:pPr>
      <w:r w:rsidRPr="00D97E9B">
        <w:rPr>
          <w:rFonts w:asciiTheme="majorHAnsi" w:hAnsiTheme="majorHAnsi" w:cstheme="majorHAnsi"/>
        </w:rPr>
        <w:t>We work with governments and our partners in the education, English language and cultural sectors, in the UK and globally. Working together we make a bigger difference, creating benefit for millions of people all over the world.</w:t>
      </w:r>
    </w:p>
    <w:p w14:paraId="666FA064" w14:textId="77777777" w:rsidR="005A4D0A" w:rsidRPr="00D97E9B" w:rsidRDefault="005A4D0A" w:rsidP="005A4D0A">
      <w:pPr>
        <w:spacing w:line="276" w:lineRule="auto"/>
        <w:rPr>
          <w:rFonts w:asciiTheme="majorHAnsi" w:hAnsiTheme="majorHAnsi" w:cstheme="majorHAnsi"/>
        </w:rPr>
      </w:pPr>
      <w:r w:rsidRPr="00D97E9B">
        <w:rPr>
          <w:rFonts w:asciiTheme="majorHAnsi" w:hAnsiTheme="majorHAnsi" w:cstheme="majorHAnsi"/>
        </w:rPr>
        <w:t>We work with people in over 200 countries and territories and are on the ground in more than 100 countries.</w:t>
      </w:r>
    </w:p>
    <w:p w14:paraId="6369151C" w14:textId="77777777" w:rsidR="005A4D0A" w:rsidRDefault="005A4D0A" w:rsidP="005A4D0A">
      <w:pPr>
        <w:spacing w:line="276" w:lineRule="auto"/>
        <w:rPr>
          <w:rFonts w:asciiTheme="majorHAnsi" w:eastAsiaTheme="majorEastAsia" w:hAnsiTheme="majorHAnsi" w:cstheme="majorBidi"/>
          <w:b/>
          <w:bCs/>
          <w:color w:val="230859" w:themeColor="text2"/>
          <w:sz w:val="28"/>
          <w:szCs w:val="28"/>
        </w:rPr>
      </w:pPr>
      <w:r w:rsidRPr="00DA6F0F">
        <w:rPr>
          <w:rFonts w:asciiTheme="majorHAnsi" w:eastAsiaTheme="majorEastAsia" w:hAnsiTheme="majorHAnsi" w:cstheme="majorBidi"/>
          <w:b/>
          <w:bCs/>
          <w:color w:val="230859" w:themeColor="text2"/>
          <w:sz w:val="28"/>
          <w:szCs w:val="28"/>
        </w:rPr>
        <w:t>Background</w:t>
      </w:r>
    </w:p>
    <w:p w14:paraId="35E6CA13" w14:textId="77777777" w:rsidR="002E6462" w:rsidRPr="00A5430D" w:rsidRDefault="002E6462" w:rsidP="002E6462">
      <w:pPr>
        <w:pStyle w:val="paragraph"/>
        <w:spacing w:after="0"/>
        <w:textAlignment w:val="baseline"/>
        <w:rPr>
          <w:rFonts w:ascii="Arial" w:hAnsi="Arial" w:cs="Arial"/>
        </w:rPr>
      </w:pPr>
      <w:r w:rsidRPr="00A5430D">
        <w:rPr>
          <w:rFonts w:ascii="Arial" w:hAnsi="Arial" w:cs="Arial"/>
        </w:rPr>
        <w:t xml:space="preserve">The British Council, through its global programme </w:t>
      </w:r>
      <w:r w:rsidRPr="00A5430D">
        <w:rPr>
          <w:rFonts w:ascii="Arial" w:hAnsi="Arial" w:cs="Arial"/>
          <w:i/>
          <w:iCs/>
        </w:rPr>
        <w:t>School Systems</w:t>
      </w:r>
      <w:r w:rsidRPr="00A5430D">
        <w:rPr>
          <w:rFonts w:ascii="Arial" w:hAnsi="Arial" w:cs="Arial"/>
        </w:rPr>
        <w:t xml:space="preserve">, supports the sustainable improvement of the quality of basic education in schools for all. In partnership with the Government of Nepal, we work to strengthen both </w:t>
      </w:r>
      <w:proofErr w:type="gramStart"/>
      <w:r w:rsidRPr="00A5430D">
        <w:rPr>
          <w:rFonts w:ascii="Arial" w:hAnsi="Arial" w:cs="Arial"/>
        </w:rPr>
        <w:t>policy-making</w:t>
      </w:r>
      <w:proofErr w:type="gramEnd"/>
      <w:r w:rsidRPr="00A5430D">
        <w:rPr>
          <w:rFonts w:ascii="Arial" w:hAnsi="Arial" w:cs="Arial"/>
        </w:rPr>
        <w:t xml:space="preserve"> and implementation. Our focus is on embedding sustainable initial teacher preparation and continuing professional development (CPD) within education systems, through a dedicated offer for the development of Teacher Educators, underpinned by the </w:t>
      </w:r>
      <w:r w:rsidRPr="00090BC9">
        <w:rPr>
          <w:rFonts w:ascii="Arial" w:hAnsi="Arial" w:cs="Arial"/>
        </w:rPr>
        <w:t>CPD Framework for Teacher Educators</w:t>
      </w:r>
      <w:r w:rsidRPr="00A5430D">
        <w:rPr>
          <w:rFonts w:ascii="Arial" w:hAnsi="Arial" w:cs="Arial"/>
        </w:rPr>
        <w:t>.</w:t>
      </w:r>
    </w:p>
    <w:p w14:paraId="71E30514" w14:textId="77777777" w:rsidR="002E6462" w:rsidRDefault="002E6462" w:rsidP="002E6462">
      <w:pPr>
        <w:rPr>
          <w:rStyle w:val="normaltextrun"/>
          <w:rFonts w:ascii="Arial" w:hAnsi="Arial" w:cs="Arial"/>
        </w:rPr>
      </w:pPr>
      <w:r w:rsidRPr="00272E94">
        <w:rPr>
          <w:rStyle w:val="normaltextrun"/>
          <w:rFonts w:ascii="Arial" w:eastAsia="Times New Roman" w:hAnsi="Arial" w:cs="Arial"/>
          <w:lang w:eastAsia="en-GB"/>
        </w:rPr>
        <w:t>Various studies have highlighted that the role of teacher educators is critical in providing the professional development support that teachers need to enhance their teaching practice. This has also been emphasised in research jointly conducted by the British Council, the Ministry of Education, Science and Technology (</w:t>
      </w:r>
      <w:proofErr w:type="spellStart"/>
      <w:r w:rsidRPr="00272E94">
        <w:rPr>
          <w:rStyle w:val="normaltextrun"/>
          <w:rFonts w:ascii="Arial" w:eastAsia="Times New Roman" w:hAnsi="Arial" w:cs="Arial"/>
          <w:lang w:eastAsia="en-GB"/>
        </w:rPr>
        <w:t>MoEST</w:t>
      </w:r>
      <w:proofErr w:type="spellEnd"/>
      <w:r w:rsidRPr="00272E94">
        <w:rPr>
          <w:rStyle w:val="normaltextrun"/>
          <w:rFonts w:ascii="Arial" w:eastAsia="Times New Roman" w:hAnsi="Arial" w:cs="Arial"/>
          <w:lang w:eastAsia="en-GB"/>
        </w:rPr>
        <w:t xml:space="preserve">), and the Centre for Education and Human Resource Development (CEHRD). The study identified several significant gaps in the professional development of teacher educators within Nepal’s education system. Although the School Education Sector Plan (SESP) 2021–2030 recognises the importance of teacher educators, limited progress has been made in establishing systematic training programmes and </w:t>
      </w:r>
      <w:r w:rsidRPr="00CF07EF">
        <w:rPr>
          <w:rStyle w:val="normaltextrun"/>
          <w:rFonts w:ascii="Arial" w:hAnsi="Arial" w:cs="Arial"/>
        </w:rPr>
        <w:t>developing competency-based materials. These gaps must be addressed to ensure that teacher educators are adequately prepared to support teachers effectively. Based on the findings of the research, in 2024, the British Council supported CEHRD to develop a comprehensive Competency Framework for Teacher Trainers.  It is now necessary to develop self- assessment tool and high-quality Training of Trainers (</w:t>
      </w:r>
      <w:proofErr w:type="spellStart"/>
      <w:r w:rsidRPr="00CF07EF">
        <w:rPr>
          <w:rStyle w:val="normaltextrun"/>
          <w:rFonts w:ascii="Arial" w:hAnsi="Arial" w:cs="Arial"/>
        </w:rPr>
        <w:t>ToT</w:t>
      </w:r>
      <w:proofErr w:type="spellEnd"/>
      <w:r w:rsidRPr="00CF07EF">
        <w:rPr>
          <w:rStyle w:val="normaltextrun"/>
          <w:rFonts w:ascii="Arial" w:hAnsi="Arial" w:cs="Arial"/>
        </w:rPr>
        <w:t>) curriculum and training resources based on the framework. So, the British Council aims to extend its technical support to CEHRD by supporting to create high-quality training materials.</w:t>
      </w:r>
      <w:r>
        <w:rPr>
          <w:rStyle w:val="normaltextrun"/>
          <w:rFonts w:ascii="Arial" w:hAnsi="Arial" w:cs="Arial"/>
        </w:rPr>
        <w:t xml:space="preserve"> </w:t>
      </w:r>
    </w:p>
    <w:p w14:paraId="74A9F8E3" w14:textId="1398A47E" w:rsidR="00581B8D" w:rsidRPr="00581B8D" w:rsidRDefault="00581B8D" w:rsidP="00581B8D">
      <w:pPr>
        <w:rPr>
          <w:rStyle w:val="normaltextrun"/>
          <w:rFonts w:ascii="Arial" w:hAnsi="Arial" w:cs="Arial"/>
        </w:rPr>
      </w:pPr>
      <w:r w:rsidRPr="00581B8D">
        <w:rPr>
          <w:rStyle w:val="normaltextrun"/>
          <w:rFonts w:ascii="Arial" w:hAnsi="Arial" w:cs="Arial"/>
        </w:rPr>
        <w:t xml:space="preserve">To enable this, we are </w:t>
      </w:r>
      <w:r>
        <w:rPr>
          <w:rStyle w:val="normaltextrun"/>
          <w:rFonts w:ascii="Arial" w:hAnsi="Arial" w:cs="Arial"/>
        </w:rPr>
        <w:t>looking for</w:t>
      </w:r>
      <w:r w:rsidRPr="00581B8D">
        <w:rPr>
          <w:rStyle w:val="normaltextrun"/>
          <w:rFonts w:ascii="Arial" w:hAnsi="Arial" w:cs="Arial"/>
        </w:rPr>
        <w:t xml:space="preserve"> a national consultant who will work closely with an international consultant, the taskforce formed by CEHRD, and the British Council team in Nepal to develop these resources. The consultant will be responsible for taking the framework and transforming it into a self-assessment tool, as well as developing practical training modules </w:t>
      </w:r>
      <w:r w:rsidRPr="00581B8D">
        <w:rPr>
          <w:rStyle w:val="normaltextrun"/>
          <w:rFonts w:ascii="Arial" w:hAnsi="Arial" w:cs="Arial"/>
        </w:rPr>
        <w:lastRenderedPageBreak/>
        <w:t>appropriate for Nepal's teacher trainers, in collaboration with the international consultant, the taskforce, and the British Council team in Nepal.</w:t>
      </w:r>
    </w:p>
    <w:p w14:paraId="2D46C9BA" w14:textId="30602CF8" w:rsidR="002E6462" w:rsidRDefault="002E6462" w:rsidP="002E6462">
      <w:pPr>
        <w:rPr>
          <w:rStyle w:val="normaltextrun"/>
          <w:rFonts w:ascii="Arial" w:hAnsi="Arial" w:cs="Arial"/>
        </w:rPr>
      </w:pPr>
    </w:p>
    <w:p w14:paraId="79C01578" w14:textId="560CCF4E" w:rsidR="005A4D0A" w:rsidRPr="00581B8D" w:rsidRDefault="005A4D0A" w:rsidP="005A4D0A">
      <w:pPr>
        <w:spacing w:line="276" w:lineRule="auto"/>
      </w:pPr>
      <w:r>
        <w:t xml:space="preserve"> </w:t>
      </w:r>
      <w:r w:rsidRPr="00DA6F0F">
        <w:rPr>
          <w:rFonts w:asciiTheme="majorHAnsi" w:eastAsiaTheme="majorEastAsia" w:hAnsiTheme="majorHAnsi" w:cstheme="majorBidi"/>
          <w:b/>
          <w:bCs/>
          <w:color w:val="230859" w:themeColor="text2"/>
          <w:sz w:val="28"/>
          <w:szCs w:val="28"/>
        </w:rPr>
        <w:t>Objective</w:t>
      </w:r>
      <w:r>
        <w:rPr>
          <w:rFonts w:asciiTheme="majorHAnsi" w:eastAsiaTheme="majorEastAsia" w:hAnsiTheme="majorHAnsi" w:cstheme="majorBidi"/>
          <w:b/>
          <w:bCs/>
          <w:color w:val="230859" w:themeColor="text2"/>
          <w:sz w:val="28"/>
          <w:szCs w:val="28"/>
        </w:rPr>
        <w:t>s</w:t>
      </w:r>
    </w:p>
    <w:p w14:paraId="0D55AD2B" w14:textId="77777777" w:rsidR="004A687D" w:rsidRPr="004A687D" w:rsidRDefault="004A687D" w:rsidP="004A687D">
      <w:r w:rsidRPr="00171C91">
        <w:t>To support the Government of Nepal in developing a self-assessment tool and practical training modules appropriate for Nepal's teacher trainers, based on the newly developed competency framework prepared by the Government of Nepal with technical support from the British Council.</w:t>
      </w:r>
    </w:p>
    <w:p w14:paraId="1FBE1E58" w14:textId="77777777" w:rsidR="005A4D0A" w:rsidRDefault="005A4D0A" w:rsidP="005A4D0A">
      <w:pPr>
        <w:spacing w:line="276" w:lineRule="auto"/>
        <w:rPr>
          <w:rFonts w:asciiTheme="majorHAnsi" w:eastAsiaTheme="majorEastAsia" w:hAnsiTheme="majorHAnsi" w:cstheme="majorBidi"/>
          <w:b/>
          <w:bCs/>
          <w:color w:val="230859" w:themeColor="text2"/>
          <w:sz w:val="28"/>
          <w:szCs w:val="28"/>
        </w:rPr>
      </w:pPr>
      <w:r w:rsidRPr="6FAFC58F">
        <w:rPr>
          <w:rFonts w:asciiTheme="majorHAnsi" w:eastAsiaTheme="majorEastAsia" w:hAnsiTheme="majorHAnsi" w:cstheme="majorBidi"/>
          <w:b/>
          <w:bCs/>
          <w:color w:val="230859" w:themeColor="text2"/>
          <w:sz w:val="28"/>
          <w:szCs w:val="28"/>
        </w:rPr>
        <w:t xml:space="preserve">Scope </w:t>
      </w:r>
    </w:p>
    <w:p w14:paraId="54459ADE" w14:textId="77777777" w:rsidR="00B915A2" w:rsidRDefault="00B915A2" w:rsidP="005A4D0A">
      <w:pPr>
        <w:spacing w:line="276" w:lineRule="auto"/>
      </w:pPr>
      <w:r w:rsidRPr="00B915A2">
        <w:t>The national consultant is expected to support the international consultant and play a key role in contextualising the resources for Nepal’s education system.</w:t>
      </w:r>
    </w:p>
    <w:p w14:paraId="6B0E0DBA" w14:textId="77777777" w:rsidR="00785792" w:rsidRDefault="00785792" w:rsidP="007857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main scope of this assignment includes: </w:t>
      </w:r>
      <w:r>
        <w:rPr>
          <w:rStyle w:val="eop"/>
          <w:rFonts w:ascii="Arial" w:eastAsiaTheme="majorEastAsia" w:hAnsi="Arial" w:cs="Arial"/>
        </w:rPr>
        <w:t> </w:t>
      </w:r>
    </w:p>
    <w:p w14:paraId="15318F56" w14:textId="77777777" w:rsidR="00785792" w:rsidRDefault="00785792" w:rsidP="00785792">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 xml:space="preserve">reviewing existing resources, British Council’s CPD framework for teacher educator and approved teacher educator competency framework and analysing the </w:t>
      </w:r>
      <w:proofErr w:type="gramStart"/>
      <w:r>
        <w:rPr>
          <w:rStyle w:val="normaltextrun"/>
          <w:rFonts w:ascii="Arial" w:hAnsi="Arial" w:cs="Arial"/>
        </w:rPr>
        <w:t>current status</w:t>
      </w:r>
      <w:proofErr w:type="gramEnd"/>
      <w:r>
        <w:rPr>
          <w:rStyle w:val="normaltextrun"/>
          <w:rFonts w:ascii="Arial" w:hAnsi="Arial" w:cs="Arial"/>
        </w:rPr>
        <w:t xml:space="preserve"> of teacher educators based on the latest research jointly commissioned with CEHRD,</w:t>
      </w:r>
      <w:r>
        <w:rPr>
          <w:rStyle w:val="eop"/>
          <w:rFonts w:ascii="Arial" w:eastAsiaTheme="majorEastAsia" w:hAnsi="Arial" w:cs="Arial"/>
        </w:rPr>
        <w:t> </w:t>
      </w:r>
    </w:p>
    <w:p w14:paraId="295485F9" w14:textId="77777777" w:rsidR="00785792" w:rsidRPr="00A6118C" w:rsidRDefault="00785792" w:rsidP="00785792">
      <w:pPr>
        <w:pStyle w:val="paragraph"/>
        <w:numPr>
          <w:ilvl w:val="0"/>
          <w:numId w:val="16"/>
        </w:numPr>
        <w:spacing w:before="0" w:beforeAutospacing="0" w:after="0" w:afterAutospacing="0"/>
        <w:textAlignment w:val="baseline"/>
        <w:rPr>
          <w:rStyle w:val="normaltextrun"/>
        </w:rPr>
      </w:pPr>
      <w:r>
        <w:rPr>
          <w:rStyle w:val="normaltextrun"/>
          <w:rFonts w:ascii="Arial" w:hAnsi="Arial" w:cs="Arial"/>
        </w:rPr>
        <w:t xml:space="preserve">collaborating with the Government of Nepal’s task force, national consultant and the British Council English and School team in Nepal to develop self-assessment tool, curriculum and </w:t>
      </w:r>
      <w:proofErr w:type="spellStart"/>
      <w:r>
        <w:rPr>
          <w:rStyle w:val="normaltextrun"/>
          <w:rFonts w:ascii="Arial" w:hAnsi="Arial" w:cs="Arial"/>
        </w:rPr>
        <w:t>ToT</w:t>
      </w:r>
      <w:proofErr w:type="spellEnd"/>
      <w:r>
        <w:rPr>
          <w:rStyle w:val="normaltextrun"/>
          <w:rFonts w:ascii="Arial" w:hAnsi="Arial" w:cs="Arial"/>
        </w:rPr>
        <w:t xml:space="preserve"> modules and </w:t>
      </w:r>
    </w:p>
    <w:p w14:paraId="2AA46FFC" w14:textId="77777777" w:rsidR="00785792" w:rsidRPr="00A6118C" w:rsidRDefault="00785792" w:rsidP="00785792">
      <w:pPr>
        <w:pStyle w:val="paragraph"/>
        <w:numPr>
          <w:ilvl w:val="0"/>
          <w:numId w:val="16"/>
        </w:numPr>
        <w:spacing w:before="0" w:beforeAutospacing="0" w:after="0" w:afterAutospacing="0"/>
        <w:textAlignment w:val="baseline"/>
        <w:rPr>
          <w:rStyle w:val="normaltextrun"/>
        </w:rPr>
      </w:pPr>
      <w:r>
        <w:rPr>
          <w:rStyle w:val="normaltextrun"/>
          <w:rFonts w:ascii="Arial" w:hAnsi="Arial" w:cs="Arial"/>
        </w:rPr>
        <w:t>co-leading the dissemination of developed resources and training materials. </w:t>
      </w:r>
      <w:r w:rsidRPr="00A6118C">
        <w:rPr>
          <w:rStyle w:val="normaltextrun"/>
        </w:rPr>
        <w:t> </w:t>
      </w:r>
    </w:p>
    <w:p w14:paraId="0168D7D0" w14:textId="77777777" w:rsidR="00785792" w:rsidRDefault="00785792" w:rsidP="00785792">
      <w:pPr>
        <w:pStyle w:val="paragraph"/>
        <w:spacing w:before="0" w:beforeAutospacing="0" w:after="0" w:afterAutospacing="0"/>
        <w:textAlignment w:val="baseline"/>
        <w:rPr>
          <w:rStyle w:val="normaltextrun"/>
          <w:rFonts w:ascii="Arial" w:hAnsi="Arial" w:cs="Arial"/>
          <w:b/>
          <w:bCs/>
        </w:rPr>
      </w:pPr>
    </w:p>
    <w:p w14:paraId="2E2C020F" w14:textId="77777777" w:rsidR="00785792" w:rsidRDefault="00785792" w:rsidP="00785792">
      <w:pPr>
        <w:pStyle w:val="paragraph"/>
        <w:spacing w:before="0" w:beforeAutospacing="0" w:after="0" w:afterAutospacing="0"/>
        <w:textAlignment w:val="baseline"/>
        <w:rPr>
          <w:rStyle w:val="eop"/>
          <w:rFonts w:ascii="Arial" w:eastAsiaTheme="majorEastAsia" w:hAnsi="Arial" w:cs="Arial"/>
        </w:rPr>
      </w:pPr>
      <w:r>
        <w:rPr>
          <w:rStyle w:val="normaltextrun"/>
          <w:rFonts w:ascii="Arial" w:hAnsi="Arial" w:cs="Arial"/>
          <w:b/>
          <w:bCs/>
        </w:rPr>
        <w:t xml:space="preserve">Specific tasks: </w:t>
      </w:r>
      <w:r>
        <w:rPr>
          <w:rStyle w:val="normaltextrun"/>
          <w:rFonts w:ascii="Arial" w:hAnsi="Arial" w:cs="Arial"/>
        </w:rPr>
        <w:t>The detailed tasks under this assignment are:</w:t>
      </w:r>
      <w:r>
        <w:rPr>
          <w:rStyle w:val="eop"/>
          <w:rFonts w:ascii="Arial" w:eastAsiaTheme="majorEastAsia" w:hAnsi="Arial" w:cs="Arial"/>
        </w:rPr>
        <w:t> </w:t>
      </w:r>
    </w:p>
    <w:p w14:paraId="6957B577" w14:textId="77777777" w:rsidR="00785792" w:rsidRDefault="00785792" w:rsidP="00785792">
      <w:pPr>
        <w:pStyle w:val="paragraph"/>
        <w:spacing w:before="0" w:beforeAutospacing="0" w:after="0" w:afterAutospacing="0"/>
        <w:textAlignment w:val="baseline"/>
        <w:rPr>
          <w:rFonts w:ascii="Segoe UI" w:hAnsi="Segoe UI" w:cs="Segoe UI"/>
          <w:sz w:val="18"/>
          <w:szCs w:val="18"/>
        </w:rPr>
      </w:pPr>
    </w:p>
    <w:p w14:paraId="64D98E87" w14:textId="77777777" w:rsidR="00785792" w:rsidRDefault="00785792" w:rsidP="00785792">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Inception phase</w:t>
      </w:r>
      <w:r>
        <w:rPr>
          <w:rStyle w:val="eop"/>
          <w:rFonts w:ascii="Arial" w:eastAsiaTheme="majorEastAsia" w:hAnsi="Arial" w:cs="Arial"/>
        </w:rPr>
        <w:t> </w:t>
      </w:r>
    </w:p>
    <w:p w14:paraId="093DAF9B" w14:textId="77777777" w:rsidR="00785792" w:rsidRDefault="00785792" w:rsidP="00785792">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rPr>
        <w:t>Attend an inception meeting with the British Council to agree on the assignment requirements, scope and expected outputs.</w:t>
      </w:r>
      <w:r>
        <w:rPr>
          <w:rStyle w:val="eop"/>
          <w:rFonts w:ascii="Arial" w:eastAsiaTheme="majorEastAsia" w:hAnsi="Arial" w:cs="Arial"/>
        </w:rPr>
        <w:t> </w:t>
      </w:r>
    </w:p>
    <w:p w14:paraId="1E8689A1" w14:textId="40644136" w:rsidR="00785792" w:rsidRPr="00624096" w:rsidRDefault="00785792" w:rsidP="00785792">
      <w:pPr>
        <w:pStyle w:val="paragraph"/>
        <w:numPr>
          <w:ilvl w:val="0"/>
          <w:numId w:val="18"/>
        </w:numPr>
        <w:spacing w:before="0" w:beforeAutospacing="0" w:after="0" w:afterAutospacing="0"/>
        <w:textAlignment w:val="baseline"/>
        <w:rPr>
          <w:rStyle w:val="eop"/>
          <w:rFonts w:ascii="Arial" w:hAnsi="Arial" w:cs="Arial"/>
        </w:rPr>
      </w:pPr>
      <w:r>
        <w:rPr>
          <w:rStyle w:val="normaltextrun"/>
          <w:rFonts w:ascii="Arial" w:hAnsi="Arial" w:cs="Arial"/>
        </w:rPr>
        <w:t xml:space="preserve">Work with the </w:t>
      </w:r>
      <w:r w:rsidR="005A12DB">
        <w:rPr>
          <w:rStyle w:val="normaltextrun"/>
          <w:rFonts w:ascii="Arial" w:hAnsi="Arial" w:cs="Arial"/>
        </w:rPr>
        <w:t>inter</w:t>
      </w:r>
      <w:r>
        <w:rPr>
          <w:rStyle w:val="normaltextrun"/>
          <w:rFonts w:ascii="Arial" w:hAnsi="Arial" w:cs="Arial"/>
        </w:rPr>
        <w:t>national consultant and task force to develop a brief inception report outlining the agreed scope of work, timeline, and delivery plan.</w:t>
      </w:r>
      <w:r>
        <w:rPr>
          <w:rStyle w:val="eop"/>
          <w:rFonts w:ascii="Arial" w:eastAsiaTheme="majorEastAsia" w:hAnsi="Arial" w:cs="Arial"/>
        </w:rPr>
        <w:t> </w:t>
      </w:r>
    </w:p>
    <w:p w14:paraId="2A5AA16F" w14:textId="77777777" w:rsidR="00785792" w:rsidRDefault="00785792" w:rsidP="00785792">
      <w:pPr>
        <w:pStyle w:val="paragraph"/>
        <w:spacing w:before="0" w:beforeAutospacing="0" w:after="0" w:afterAutospacing="0"/>
        <w:ind w:left="1725"/>
        <w:textAlignment w:val="baseline"/>
        <w:rPr>
          <w:rFonts w:ascii="Arial" w:hAnsi="Arial" w:cs="Arial"/>
        </w:rPr>
      </w:pPr>
    </w:p>
    <w:p w14:paraId="71EFDEC9" w14:textId="77777777" w:rsidR="00785792" w:rsidRDefault="00785792" w:rsidP="00785792">
      <w:pPr>
        <w:pStyle w:val="paragraph"/>
        <w:spacing w:before="0" w:beforeAutospacing="0" w:after="0" w:afterAutospacing="0"/>
        <w:ind w:left="555"/>
        <w:textAlignment w:val="baseline"/>
        <w:rPr>
          <w:rFonts w:ascii="Segoe UI" w:hAnsi="Segoe UI" w:cs="Segoe UI"/>
          <w:sz w:val="18"/>
          <w:szCs w:val="18"/>
        </w:rPr>
      </w:pPr>
      <w:r>
        <w:rPr>
          <w:rStyle w:val="normaltextrun"/>
          <w:rFonts w:ascii="Arial" w:hAnsi="Arial" w:cs="Arial"/>
        </w:rPr>
        <w:t>2. Review and familiarisation</w:t>
      </w:r>
      <w:r>
        <w:rPr>
          <w:rStyle w:val="eop"/>
          <w:rFonts w:ascii="Arial" w:eastAsiaTheme="majorEastAsia" w:hAnsi="Arial" w:cs="Arial"/>
        </w:rPr>
        <w:t> </w:t>
      </w:r>
    </w:p>
    <w:p w14:paraId="1A42BF74" w14:textId="79D90E27" w:rsidR="00785792" w:rsidRPr="00997842" w:rsidRDefault="00785792" w:rsidP="00785792">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 xml:space="preserve">Review the approved Teacher </w:t>
      </w:r>
      <w:r w:rsidR="005A12DB">
        <w:rPr>
          <w:rStyle w:val="normaltextrun"/>
          <w:rFonts w:ascii="Arial" w:hAnsi="Arial" w:cs="Arial"/>
        </w:rPr>
        <w:t>Trainer</w:t>
      </w:r>
      <w:r>
        <w:rPr>
          <w:rStyle w:val="normaltextrun"/>
          <w:rFonts w:ascii="Arial" w:hAnsi="Arial" w:cs="Arial"/>
        </w:rPr>
        <w:t>s’ Competency Framework and relevant Government of Nepal (</w:t>
      </w:r>
      <w:proofErr w:type="spellStart"/>
      <w:r>
        <w:rPr>
          <w:rStyle w:val="normaltextrun"/>
          <w:rFonts w:ascii="Arial" w:hAnsi="Arial" w:cs="Arial"/>
        </w:rPr>
        <w:t>GoN</w:t>
      </w:r>
      <w:proofErr w:type="spellEnd"/>
      <w:r>
        <w:rPr>
          <w:rStyle w:val="normaltextrun"/>
          <w:rFonts w:ascii="Arial" w:hAnsi="Arial" w:cs="Arial"/>
        </w:rPr>
        <w:t>) policies and practices and available training curriculum and resources.</w:t>
      </w:r>
      <w:r>
        <w:rPr>
          <w:rStyle w:val="eop"/>
          <w:rFonts w:ascii="Arial" w:eastAsiaTheme="majorEastAsia" w:hAnsi="Arial" w:cs="Arial"/>
        </w:rPr>
        <w:t> </w:t>
      </w:r>
      <w:r w:rsidRPr="00997842">
        <w:rPr>
          <w:rStyle w:val="eop"/>
          <w:rFonts w:ascii="Arial" w:eastAsiaTheme="majorEastAsia" w:hAnsi="Arial" w:cs="Arial"/>
        </w:rPr>
        <w:t> </w:t>
      </w:r>
    </w:p>
    <w:p w14:paraId="0DB7977D" w14:textId="77777777" w:rsidR="00785792" w:rsidRDefault="00785792" w:rsidP="00785792">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Review international good practices related to teacher educator resource materials and competency frameworks.</w:t>
      </w:r>
      <w:r>
        <w:rPr>
          <w:rStyle w:val="eop"/>
          <w:rFonts w:ascii="Arial" w:eastAsiaTheme="majorEastAsia" w:hAnsi="Arial" w:cs="Arial"/>
        </w:rPr>
        <w:t> </w:t>
      </w:r>
    </w:p>
    <w:p w14:paraId="573B61C9" w14:textId="6DD26AD0" w:rsidR="00785792" w:rsidRDefault="00785792" w:rsidP="00785792">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Familiarise with the British Council's CPD frameworks for teachers and teacher educators.</w:t>
      </w:r>
      <w:r>
        <w:rPr>
          <w:rStyle w:val="eop"/>
          <w:rFonts w:ascii="Arial" w:eastAsiaTheme="majorEastAsia" w:hAnsi="Arial" w:cs="Arial"/>
        </w:rPr>
        <w:t> </w:t>
      </w:r>
    </w:p>
    <w:p w14:paraId="1C2351E2" w14:textId="77777777" w:rsidR="00785792" w:rsidRDefault="00785792" w:rsidP="00785792">
      <w:pPr>
        <w:pStyle w:val="paragraph"/>
        <w:spacing w:before="0" w:beforeAutospacing="0" w:after="0" w:afterAutospacing="0"/>
        <w:ind w:left="555"/>
        <w:textAlignment w:val="baseline"/>
        <w:rPr>
          <w:rFonts w:ascii="Segoe UI" w:hAnsi="Segoe UI" w:cs="Segoe UI"/>
          <w:sz w:val="18"/>
          <w:szCs w:val="18"/>
        </w:rPr>
      </w:pPr>
      <w:r>
        <w:rPr>
          <w:rStyle w:val="normaltextrun"/>
          <w:rFonts w:ascii="Arial" w:hAnsi="Arial" w:cs="Arial"/>
        </w:rPr>
        <w:t>3. Resource development</w:t>
      </w:r>
      <w:r>
        <w:rPr>
          <w:rStyle w:val="eop"/>
          <w:rFonts w:ascii="Arial" w:eastAsiaTheme="majorEastAsia" w:hAnsi="Arial" w:cs="Arial"/>
        </w:rPr>
        <w:t> </w:t>
      </w:r>
    </w:p>
    <w:p w14:paraId="12091A3B" w14:textId="17AE0A46" w:rsidR="00785792" w:rsidRDefault="00785792" w:rsidP="00785792">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 xml:space="preserve">Collaborate with the task force and </w:t>
      </w:r>
      <w:r w:rsidR="00CC0143">
        <w:rPr>
          <w:rStyle w:val="normaltextrun"/>
          <w:rFonts w:ascii="Arial" w:hAnsi="Arial" w:cs="Arial"/>
        </w:rPr>
        <w:t>the inter</w:t>
      </w:r>
      <w:r>
        <w:rPr>
          <w:rStyle w:val="normaltextrun"/>
          <w:rFonts w:ascii="Arial" w:hAnsi="Arial" w:cs="Arial"/>
        </w:rPr>
        <w:t>national consultant to design and develop comprehensive training curriculum, modules and self-access tools.</w:t>
      </w:r>
      <w:r>
        <w:rPr>
          <w:rStyle w:val="eop"/>
          <w:rFonts w:ascii="Arial" w:eastAsiaTheme="majorEastAsia" w:hAnsi="Arial" w:cs="Arial"/>
        </w:rPr>
        <w:t> </w:t>
      </w:r>
    </w:p>
    <w:p w14:paraId="023FF5B8" w14:textId="77777777" w:rsidR="00785792" w:rsidRDefault="00785792" w:rsidP="00785792">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Ensure iterative input and active task force participation and feedback at each stage. </w:t>
      </w:r>
      <w:r>
        <w:rPr>
          <w:rStyle w:val="eop"/>
          <w:rFonts w:ascii="Arial" w:eastAsiaTheme="majorEastAsia" w:hAnsi="Arial" w:cs="Arial"/>
        </w:rPr>
        <w:t> </w:t>
      </w:r>
    </w:p>
    <w:p w14:paraId="6AC254BB" w14:textId="77777777" w:rsidR="00785792" w:rsidRDefault="00785792" w:rsidP="00785792">
      <w:pPr>
        <w:pStyle w:val="paragraph"/>
        <w:spacing w:before="0" w:beforeAutospacing="0" w:after="0" w:afterAutospacing="0"/>
        <w:ind w:left="630" w:hanging="75"/>
        <w:textAlignment w:val="baseline"/>
        <w:rPr>
          <w:rFonts w:ascii="Segoe UI" w:hAnsi="Segoe UI" w:cs="Segoe UI"/>
          <w:sz w:val="18"/>
          <w:szCs w:val="18"/>
        </w:rPr>
      </w:pPr>
      <w:r>
        <w:rPr>
          <w:rStyle w:val="normaltextrun"/>
          <w:rFonts w:ascii="Arial" w:hAnsi="Arial" w:cs="Arial"/>
        </w:rPr>
        <w:t>4. Dissemination</w:t>
      </w:r>
      <w:r>
        <w:rPr>
          <w:rStyle w:val="eop"/>
          <w:rFonts w:ascii="Arial" w:eastAsiaTheme="majorEastAsia" w:hAnsi="Arial" w:cs="Arial"/>
        </w:rPr>
        <w:t> </w:t>
      </w:r>
    </w:p>
    <w:p w14:paraId="3C396F51" w14:textId="77777777" w:rsidR="00785792" w:rsidRDefault="00785792" w:rsidP="002903AB">
      <w:pPr>
        <w:pStyle w:val="paragraph"/>
        <w:numPr>
          <w:ilvl w:val="0"/>
          <w:numId w:val="21"/>
        </w:numPr>
        <w:spacing w:before="0" w:beforeAutospacing="0" w:after="0" w:afterAutospacing="0"/>
        <w:ind w:left="1560" w:hanging="284"/>
        <w:textAlignment w:val="baseline"/>
        <w:rPr>
          <w:rFonts w:ascii="Segoe UI" w:hAnsi="Segoe UI" w:cs="Segoe UI"/>
          <w:sz w:val="18"/>
          <w:szCs w:val="18"/>
        </w:rPr>
      </w:pPr>
      <w:r>
        <w:rPr>
          <w:rStyle w:val="normaltextrun"/>
          <w:rFonts w:ascii="Arial" w:hAnsi="Arial" w:cs="Arial"/>
        </w:rPr>
        <w:t>Co-lead the dissemination of the finalised training modules and resource materials through appropriate platforms or events, as agreed with the stakeholders.</w:t>
      </w:r>
      <w:r>
        <w:rPr>
          <w:rStyle w:val="eop"/>
          <w:rFonts w:ascii="Arial" w:eastAsiaTheme="majorEastAsia" w:hAnsi="Arial" w:cs="Arial"/>
        </w:rPr>
        <w:t> </w:t>
      </w:r>
    </w:p>
    <w:p w14:paraId="16193A65" w14:textId="77777777" w:rsidR="00A06789" w:rsidRDefault="00A06789" w:rsidP="00A06789">
      <w:pPr>
        <w:spacing w:line="276" w:lineRule="auto"/>
      </w:pPr>
      <w:r w:rsidRPr="00CD5546">
        <w:lastRenderedPageBreak/>
        <w:t xml:space="preserve">Note: </w:t>
      </w:r>
      <w:r w:rsidRPr="009523F3">
        <w:t>Both consultants will ensure that all resources are finalised in consultation with CEHRD and the British Council</w:t>
      </w:r>
      <w:r>
        <w:t xml:space="preserve"> and submit a</w:t>
      </w:r>
      <w:r w:rsidRPr="003F5744">
        <w:t xml:space="preserve"> final report detailing the development process, key insights, and recommendations for future implementation.</w:t>
      </w:r>
    </w:p>
    <w:p w14:paraId="60E1F068" w14:textId="77777777" w:rsidR="00A06789" w:rsidRPr="009523F3" w:rsidRDefault="00A06789" w:rsidP="00A06789">
      <w:pPr>
        <w:spacing w:line="276" w:lineRule="auto"/>
        <w:rPr>
          <w:i/>
          <w:iCs/>
        </w:rPr>
      </w:pPr>
      <w:r w:rsidRPr="009523F3">
        <w:rPr>
          <w:i/>
          <w:iCs/>
        </w:rPr>
        <w:t>These deliverables are a starting point and may need to be customised based on the specific requirements and guidelines provided by CEHRD and the British Council.</w:t>
      </w:r>
    </w:p>
    <w:p w14:paraId="3E0A4241" w14:textId="77777777" w:rsidR="00D24F74" w:rsidRPr="00CD5546" w:rsidRDefault="00D24F74" w:rsidP="005A4D0A">
      <w:pPr>
        <w:spacing w:line="276" w:lineRule="auto"/>
      </w:pPr>
    </w:p>
    <w:p w14:paraId="3DCE2DCC" w14:textId="77777777" w:rsidR="005A4D0A" w:rsidRDefault="005A4D0A" w:rsidP="005A4D0A">
      <w:pPr>
        <w:spacing w:line="276" w:lineRule="auto"/>
      </w:pPr>
      <w:r w:rsidRPr="005A70CD">
        <w:rPr>
          <w:rFonts w:asciiTheme="majorHAnsi" w:eastAsiaTheme="majorEastAsia" w:hAnsiTheme="majorHAnsi" w:cstheme="majorBidi"/>
          <w:b/>
          <w:bCs/>
          <w:color w:val="230859" w:themeColor="text2"/>
          <w:sz w:val="28"/>
          <w:szCs w:val="28"/>
        </w:rPr>
        <w:t>Consulting inputs</w:t>
      </w:r>
      <w:r w:rsidRPr="005A70CD">
        <w:t xml:space="preserve">  </w:t>
      </w:r>
    </w:p>
    <w:p w14:paraId="29BFBA29" w14:textId="77777777" w:rsidR="005A4D0A" w:rsidRDefault="005A4D0A" w:rsidP="005A4D0A">
      <w:pPr>
        <w:spacing w:line="276" w:lineRule="auto"/>
      </w:pPr>
      <w:r w:rsidRPr="001F5489">
        <w:t>The British Council will recruit following consultants for the study:</w:t>
      </w:r>
    </w:p>
    <w:tbl>
      <w:tblPr>
        <w:tblW w:w="9805" w:type="dxa"/>
        <w:tblBorders>
          <w:top w:val="single" w:sz="4" w:space="0" w:color="FF8200" w:themeColor="accent1"/>
          <w:left w:val="single" w:sz="4" w:space="0" w:color="FF8200" w:themeColor="accent1"/>
          <w:bottom w:val="single" w:sz="4" w:space="0" w:color="FF8200" w:themeColor="accent1"/>
          <w:right w:val="single" w:sz="4" w:space="0" w:color="FF8200" w:themeColor="accent1"/>
          <w:insideH w:val="single" w:sz="4" w:space="0" w:color="FF8200" w:themeColor="accent1"/>
          <w:insideV w:val="single" w:sz="4" w:space="0" w:color="FF8200" w:themeColor="accent1"/>
        </w:tblBorders>
        <w:tblLook w:val="04A0" w:firstRow="1" w:lastRow="0" w:firstColumn="1" w:lastColumn="0" w:noHBand="0" w:noVBand="1"/>
      </w:tblPr>
      <w:tblGrid>
        <w:gridCol w:w="3012"/>
        <w:gridCol w:w="2221"/>
        <w:gridCol w:w="4572"/>
      </w:tblGrid>
      <w:tr w:rsidR="005A4D0A" w:rsidRPr="0098306D" w14:paraId="0388B8F4" w14:textId="77777777" w:rsidTr="005A4D0A">
        <w:tc>
          <w:tcPr>
            <w:tcW w:w="3012" w:type="dxa"/>
            <w:shd w:val="clear" w:color="auto" w:fill="auto"/>
          </w:tcPr>
          <w:p w14:paraId="3B558293" w14:textId="77777777" w:rsidR="005A4D0A" w:rsidRPr="001F5489" w:rsidRDefault="005A4D0A" w:rsidP="00C45893">
            <w:pPr>
              <w:spacing w:line="276" w:lineRule="auto"/>
            </w:pPr>
            <w:r w:rsidRPr="0098306D">
              <w:rPr>
                <w:b/>
                <w:bCs/>
              </w:rPr>
              <w:t xml:space="preserve">Consultant </w:t>
            </w:r>
          </w:p>
        </w:tc>
        <w:tc>
          <w:tcPr>
            <w:tcW w:w="2221" w:type="dxa"/>
            <w:shd w:val="clear" w:color="auto" w:fill="auto"/>
          </w:tcPr>
          <w:p w14:paraId="5A7F0669" w14:textId="77777777" w:rsidR="005A4D0A" w:rsidRPr="001F5489" w:rsidRDefault="005A4D0A" w:rsidP="00C45893">
            <w:pPr>
              <w:spacing w:line="276" w:lineRule="auto"/>
            </w:pPr>
            <w:r w:rsidRPr="0098306D">
              <w:rPr>
                <w:b/>
                <w:bCs/>
              </w:rPr>
              <w:t>Tentative Input</w:t>
            </w:r>
          </w:p>
        </w:tc>
        <w:tc>
          <w:tcPr>
            <w:tcW w:w="4572" w:type="dxa"/>
            <w:shd w:val="clear" w:color="auto" w:fill="auto"/>
          </w:tcPr>
          <w:p w14:paraId="5625CF26" w14:textId="77777777" w:rsidR="005A4D0A" w:rsidRPr="001F5489" w:rsidRDefault="005A4D0A" w:rsidP="00C45893">
            <w:pPr>
              <w:spacing w:line="276" w:lineRule="auto"/>
            </w:pPr>
            <w:r w:rsidRPr="0098306D">
              <w:rPr>
                <w:b/>
                <w:bCs/>
              </w:rPr>
              <w:t>Qualification</w:t>
            </w:r>
          </w:p>
        </w:tc>
      </w:tr>
      <w:tr w:rsidR="005A4D0A" w:rsidRPr="0098306D" w14:paraId="09BFC2DF" w14:textId="77777777" w:rsidTr="005A4D0A">
        <w:tc>
          <w:tcPr>
            <w:tcW w:w="3012" w:type="dxa"/>
            <w:shd w:val="clear" w:color="auto" w:fill="auto"/>
          </w:tcPr>
          <w:p w14:paraId="2F2C1B72" w14:textId="3D95099D" w:rsidR="005A4D0A" w:rsidRPr="0098306D" w:rsidRDefault="00EF335D" w:rsidP="00C45893">
            <w:pPr>
              <w:spacing w:line="276" w:lineRule="auto"/>
            </w:pPr>
            <w:r>
              <w:t>National</w:t>
            </w:r>
            <w:r w:rsidR="005A4D0A">
              <w:t xml:space="preserve"> consultant</w:t>
            </w:r>
            <w:r w:rsidR="005A4D0A" w:rsidRPr="0098306D">
              <w:t xml:space="preserve"> </w:t>
            </w:r>
          </w:p>
        </w:tc>
        <w:tc>
          <w:tcPr>
            <w:tcW w:w="2221" w:type="dxa"/>
            <w:shd w:val="clear" w:color="auto" w:fill="auto"/>
          </w:tcPr>
          <w:p w14:paraId="4A259DBC" w14:textId="73A512B2" w:rsidR="005A4D0A" w:rsidRPr="0098306D" w:rsidRDefault="005A4D0A" w:rsidP="00C45893">
            <w:pPr>
              <w:spacing w:line="276" w:lineRule="auto"/>
            </w:pPr>
            <w:r>
              <w:t xml:space="preserve">Maximum </w:t>
            </w:r>
            <w:r w:rsidR="00EF335D">
              <w:t>4</w:t>
            </w:r>
            <w:r>
              <w:t xml:space="preserve">0 Days </w:t>
            </w:r>
          </w:p>
          <w:p w14:paraId="20210D6A" w14:textId="23DDE608" w:rsidR="005A4D0A" w:rsidRPr="0098306D" w:rsidRDefault="005A4D0A" w:rsidP="00C45893">
            <w:pPr>
              <w:spacing w:line="276" w:lineRule="auto"/>
            </w:pPr>
            <w:r>
              <w:t>Remote working</w:t>
            </w:r>
            <w:r w:rsidR="00645771">
              <w:t xml:space="preserve"> but will require </w:t>
            </w:r>
            <w:r w:rsidR="00373935">
              <w:t>travel inside Nepal.</w:t>
            </w:r>
          </w:p>
        </w:tc>
        <w:tc>
          <w:tcPr>
            <w:tcW w:w="4572" w:type="dxa"/>
            <w:shd w:val="clear" w:color="auto" w:fill="auto"/>
          </w:tcPr>
          <w:p w14:paraId="2F0C665D" w14:textId="72E21784" w:rsidR="005A4D0A" w:rsidRPr="0098306D" w:rsidRDefault="00681414" w:rsidP="00C45893">
            <w:pPr>
              <w:spacing w:line="276" w:lineRule="auto"/>
            </w:pPr>
            <w:r w:rsidRPr="00681414">
              <w:t xml:space="preserve">The ideal candidate should possess a postgraduate degree in Education, Social Sciences, or a related field, with substantial experience in writing resources for </w:t>
            </w:r>
            <w:r w:rsidR="00D316D6">
              <w:t xml:space="preserve">teachers / </w:t>
            </w:r>
            <w:r w:rsidRPr="00681414">
              <w:t>teacher</w:t>
            </w:r>
            <w:r w:rsidR="00255E1A">
              <w:t xml:space="preserve"> trainers</w:t>
            </w:r>
            <w:r w:rsidRPr="00681414">
              <w:t xml:space="preserve"> in Nepal.</w:t>
            </w:r>
          </w:p>
        </w:tc>
      </w:tr>
    </w:tbl>
    <w:p w14:paraId="1CA3AA9F" w14:textId="77777777" w:rsidR="005A4D0A" w:rsidRPr="0098306D" w:rsidRDefault="005A4D0A" w:rsidP="005A4D0A">
      <w:pPr>
        <w:autoSpaceDE w:val="0"/>
        <w:autoSpaceDN w:val="0"/>
        <w:adjustRightInd w:val="0"/>
        <w:spacing w:line="276" w:lineRule="auto"/>
        <w:jc w:val="both"/>
      </w:pPr>
    </w:p>
    <w:p w14:paraId="4DD565C9" w14:textId="5BB1C856" w:rsidR="005A4D0A" w:rsidRDefault="005A4D0A" w:rsidP="005A4D0A">
      <w:pPr>
        <w:spacing w:line="276" w:lineRule="auto"/>
      </w:pPr>
      <w:r w:rsidRPr="0098306D">
        <w:t>NB: The British Council will recruit a</w:t>
      </w:r>
      <w:r w:rsidR="00E57354">
        <w:t>n international</w:t>
      </w:r>
      <w:r w:rsidRPr="0098306D">
        <w:t xml:space="preserve"> consultant separately </w:t>
      </w:r>
      <w:r w:rsidR="00E57354">
        <w:t xml:space="preserve">who will lead </w:t>
      </w:r>
      <w:r w:rsidR="008F2385">
        <w:t>the task and work in close collaboration with the national consultant</w:t>
      </w:r>
      <w:r w:rsidRPr="0098306D">
        <w:t xml:space="preserve">. </w:t>
      </w:r>
    </w:p>
    <w:p w14:paraId="0EAEA990" w14:textId="77777777" w:rsidR="005A4D0A" w:rsidRDefault="005A4D0A" w:rsidP="005A4D0A">
      <w:pPr>
        <w:spacing w:line="276" w:lineRule="auto"/>
        <w:rPr>
          <w:rFonts w:asciiTheme="majorHAnsi" w:eastAsiaTheme="majorEastAsia" w:hAnsiTheme="majorHAnsi" w:cstheme="majorBidi"/>
          <w:b/>
          <w:bCs/>
          <w:color w:val="230859" w:themeColor="text2"/>
          <w:sz w:val="28"/>
          <w:szCs w:val="28"/>
        </w:rPr>
      </w:pPr>
      <w:r w:rsidRPr="00934E30">
        <w:rPr>
          <w:rFonts w:asciiTheme="majorHAnsi" w:eastAsiaTheme="majorEastAsia" w:hAnsiTheme="majorHAnsi" w:cstheme="majorBidi"/>
          <w:b/>
          <w:bCs/>
          <w:color w:val="230859" w:themeColor="text2"/>
          <w:sz w:val="28"/>
          <w:szCs w:val="28"/>
        </w:rPr>
        <w:t>Consultant specifications</w:t>
      </w:r>
    </w:p>
    <w:p w14:paraId="0B6C5A65" w14:textId="1D7621FD" w:rsidR="001C426F" w:rsidRDefault="001C426F" w:rsidP="00C45893">
      <w:pPr>
        <w:pStyle w:val="Bullets"/>
      </w:pPr>
      <w:r w:rsidRPr="00CD0265">
        <w:t>University-Degree in a relevant field (e.g. education, economics or other social science)</w:t>
      </w:r>
    </w:p>
    <w:p w14:paraId="6BF5270D" w14:textId="655BBCF1" w:rsidR="00886635" w:rsidRDefault="00886635" w:rsidP="00373935">
      <w:pPr>
        <w:pStyle w:val="Bullets"/>
      </w:pPr>
      <w:r w:rsidRPr="00886635">
        <w:t xml:space="preserve">Demonstrable experience in managing/supporting similar projects in the field of education or teacher education. The consultant should have experience working with the government of Nepal </w:t>
      </w:r>
      <w:proofErr w:type="gramStart"/>
      <w:r w:rsidRPr="00886635">
        <w:t>in the area of</w:t>
      </w:r>
      <w:proofErr w:type="gramEnd"/>
      <w:r w:rsidRPr="00886635">
        <w:t xml:space="preserve"> teacher and teacher educator CPD.</w:t>
      </w:r>
    </w:p>
    <w:p w14:paraId="30FD2A0C" w14:textId="398B82FB" w:rsidR="00CE359C" w:rsidRPr="00CE359C" w:rsidRDefault="00CE359C" w:rsidP="00CE359C">
      <w:pPr>
        <w:pStyle w:val="Bullets"/>
      </w:pPr>
      <w:r w:rsidRPr="00CE359C">
        <w:t>Proven experience in developing training materials</w:t>
      </w:r>
      <w:r w:rsidR="006B11C6">
        <w:t xml:space="preserve"> for teacher trainers</w:t>
      </w:r>
      <w:r w:rsidRPr="00CE359C">
        <w:t>.</w:t>
      </w:r>
    </w:p>
    <w:p w14:paraId="7EEE2027" w14:textId="135E490D" w:rsidR="00886635" w:rsidRDefault="00886635" w:rsidP="00373935">
      <w:pPr>
        <w:pStyle w:val="Bullets"/>
      </w:pPr>
      <w:r w:rsidRPr="00886635">
        <w:t xml:space="preserve">Expertise and knowledge in teacher education, education policy, or related areas. </w:t>
      </w:r>
    </w:p>
    <w:p w14:paraId="69422043" w14:textId="77777777" w:rsidR="00886635" w:rsidRDefault="00886635" w:rsidP="00373935">
      <w:pPr>
        <w:pStyle w:val="Bullets"/>
      </w:pPr>
      <w:r w:rsidRPr="00886635">
        <w:t xml:space="preserve">Strong communication, interpersonal skills and experience in engaging with a range of external actors </w:t>
      </w:r>
    </w:p>
    <w:p w14:paraId="046A9716" w14:textId="670FE7A2" w:rsidR="00373935" w:rsidRDefault="00886635" w:rsidP="00373935">
      <w:pPr>
        <w:pStyle w:val="Bullets"/>
      </w:pPr>
      <w:r w:rsidRPr="00886635">
        <w:t>Familiarity with the Nepal education context</w:t>
      </w:r>
      <w:r w:rsidR="00C25BE5">
        <w:t xml:space="preserve"> is a must.</w:t>
      </w:r>
    </w:p>
    <w:p w14:paraId="6EE61395" w14:textId="77777777" w:rsidR="005A4D0A" w:rsidRPr="0098306D" w:rsidRDefault="005A4D0A" w:rsidP="005A4D0A">
      <w:pPr>
        <w:pStyle w:val="ListParagraph"/>
        <w:spacing w:line="276" w:lineRule="auto"/>
      </w:pPr>
    </w:p>
    <w:p w14:paraId="0B8A290D" w14:textId="77777777" w:rsidR="005A4D0A" w:rsidRPr="00BA4012" w:rsidRDefault="005A4D0A" w:rsidP="005A4D0A">
      <w:pPr>
        <w:spacing w:line="276" w:lineRule="auto"/>
        <w:rPr>
          <w:rFonts w:asciiTheme="majorHAnsi" w:eastAsiaTheme="majorEastAsia" w:hAnsiTheme="majorHAnsi" w:cstheme="majorBidi"/>
          <w:b/>
          <w:bCs/>
          <w:color w:val="230859" w:themeColor="text2"/>
          <w:sz w:val="28"/>
          <w:szCs w:val="28"/>
        </w:rPr>
      </w:pPr>
      <w:r w:rsidRPr="00BA4012">
        <w:rPr>
          <w:rFonts w:asciiTheme="majorHAnsi" w:eastAsiaTheme="majorEastAsia" w:hAnsiTheme="majorHAnsi" w:cstheme="majorBidi"/>
          <w:b/>
          <w:bCs/>
          <w:color w:val="230859" w:themeColor="text2"/>
          <w:sz w:val="28"/>
          <w:szCs w:val="28"/>
        </w:rPr>
        <w:t xml:space="preserve">Implementation arrangement </w:t>
      </w:r>
    </w:p>
    <w:p w14:paraId="4E559D2E" w14:textId="256BCAED" w:rsidR="005A4D0A" w:rsidRDefault="005A4D0A" w:rsidP="005A4D0A">
      <w:pPr>
        <w:spacing w:line="276" w:lineRule="auto"/>
      </w:pPr>
      <w:r w:rsidRPr="00BA4012">
        <w:t>British Council will hire a</w:t>
      </w:r>
      <w:r w:rsidR="00631132">
        <w:t>n i</w:t>
      </w:r>
      <w:r w:rsidRPr="00BA4012">
        <w:t>n</w:t>
      </w:r>
      <w:r w:rsidR="00631132">
        <w:t>tern</w:t>
      </w:r>
      <w:r w:rsidRPr="00BA4012">
        <w:t xml:space="preserve">ational consultant who will be </w:t>
      </w:r>
      <w:r w:rsidR="00631132">
        <w:t xml:space="preserve">leading this task and </w:t>
      </w:r>
      <w:proofErr w:type="gramStart"/>
      <w:r w:rsidR="00631132">
        <w:t>an</w:t>
      </w:r>
      <w:proofErr w:type="gramEnd"/>
      <w:r w:rsidR="00631132">
        <w:t xml:space="preserve"> national consultant </w:t>
      </w:r>
      <w:r w:rsidR="00631132" w:rsidRPr="00BA4012">
        <w:t>for</w:t>
      </w:r>
      <w:r w:rsidRPr="00BA4012">
        <w:t xml:space="preserve"> close coordination with the taskforce members. A project manager from the British Council will be assigned to monitor the progress</w:t>
      </w:r>
      <w:r>
        <w:t xml:space="preserve">. </w:t>
      </w:r>
    </w:p>
    <w:p w14:paraId="457BD629" w14:textId="77777777" w:rsidR="005A4D0A" w:rsidRPr="00BA4012" w:rsidRDefault="005A4D0A" w:rsidP="005A4D0A">
      <w:pPr>
        <w:spacing w:line="276" w:lineRule="auto"/>
        <w:rPr>
          <w:rFonts w:asciiTheme="majorHAnsi" w:eastAsiaTheme="majorEastAsia" w:hAnsiTheme="majorHAnsi" w:cstheme="majorBidi"/>
          <w:b/>
          <w:bCs/>
          <w:color w:val="230859" w:themeColor="text2"/>
          <w:sz w:val="28"/>
          <w:szCs w:val="28"/>
        </w:rPr>
      </w:pPr>
      <w:r w:rsidRPr="00BA4012">
        <w:rPr>
          <w:rFonts w:asciiTheme="majorHAnsi" w:eastAsiaTheme="majorEastAsia" w:hAnsiTheme="majorHAnsi" w:cstheme="majorBidi"/>
          <w:b/>
          <w:bCs/>
          <w:color w:val="230859" w:themeColor="text2"/>
          <w:sz w:val="28"/>
          <w:szCs w:val="28"/>
        </w:rPr>
        <w:t xml:space="preserve">Cost and financing </w:t>
      </w:r>
    </w:p>
    <w:p w14:paraId="3AD3C4AD" w14:textId="77777777" w:rsidR="005A4D0A" w:rsidRDefault="005A4D0A" w:rsidP="005A4D0A">
      <w:pPr>
        <w:spacing w:line="276" w:lineRule="auto"/>
      </w:pPr>
      <w:r w:rsidRPr="0098306D">
        <w:lastRenderedPageBreak/>
        <w:t>The British Council will finance the recruitment of the consultant</w:t>
      </w:r>
      <w:r>
        <w:t>s</w:t>
      </w:r>
      <w:r w:rsidRPr="0098306D">
        <w:t xml:space="preserve"> and other cost associated with the assignment. </w:t>
      </w:r>
    </w:p>
    <w:p w14:paraId="692CFC42" w14:textId="77777777" w:rsidR="005A4D0A" w:rsidRPr="00BA4012" w:rsidRDefault="005A4D0A" w:rsidP="005A4D0A">
      <w:pPr>
        <w:spacing w:line="276" w:lineRule="auto"/>
        <w:rPr>
          <w:rFonts w:asciiTheme="majorHAnsi" w:eastAsiaTheme="majorEastAsia" w:hAnsiTheme="majorHAnsi" w:cstheme="majorBidi"/>
          <w:b/>
          <w:bCs/>
          <w:color w:val="230859" w:themeColor="text2"/>
          <w:sz w:val="28"/>
          <w:szCs w:val="28"/>
        </w:rPr>
      </w:pPr>
      <w:r w:rsidRPr="00BA4012">
        <w:rPr>
          <w:rFonts w:asciiTheme="majorHAnsi" w:eastAsiaTheme="majorEastAsia" w:hAnsiTheme="majorHAnsi" w:cstheme="majorBidi"/>
          <w:b/>
          <w:bCs/>
          <w:color w:val="230859" w:themeColor="text2"/>
          <w:sz w:val="28"/>
          <w:szCs w:val="28"/>
        </w:rPr>
        <w:t>Duration of assignment</w:t>
      </w:r>
    </w:p>
    <w:p w14:paraId="7DD660E4" w14:textId="57DD8877" w:rsidR="005A4D0A" w:rsidRPr="00BA4012" w:rsidRDefault="005A4D0A" w:rsidP="005A4D0A">
      <w:pPr>
        <w:spacing w:line="276" w:lineRule="auto"/>
      </w:pPr>
      <w:r w:rsidRPr="0098306D">
        <w:t xml:space="preserve">The task will be implemented from </w:t>
      </w:r>
      <w:r w:rsidR="002E24F1">
        <w:t>15 May</w:t>
      </w:r>
      <w:r w:rsidRPr="00BA4012">
        <w:t xml:space="preserve"> 202</w:t>
      </w:r>
      <w:r>
        <w:t>5</w:t>
      </w:r>
      <w:r w:rsidRPr="00BA4012">
        <w:t xml:space="preserve"> till 3</w:t>
      </w:r>
      <w:r>
        <w:t>0</w:t>
      </w:r>
      <w:r w:rsidRPr="00BA4012">
        <w:t xml:space="preserve"> </w:t>
      </w:r>
      <w:r>
        <w:t>November</w:t>
      </w:r>
      <w:r w:rsidRPr="00BA4012">
        <w:t xml:space="preserve"> 202</w:t>
      </w:r>
      <w:r>
        <w:t>5</w:t>
      </w:r>
    </w:p>
    <w:tbl>
      <w:tblPr>
        <w:tblW w:w="5000" w:type="pct"/>
        <w:tblLook w:val="04A0" w:firstRow="1" w:lastRow="0" w:firstColumn="1" w:lastColumn="0" w:noHBand="0" w:noVBand="1"/>
      </w:tblPr>
      <w:tblGrid>
        <w:gridCol w:w="1347"/>
        <w:gridCol w:w="976"/>
        <w:gridCol w:w="976"/>
        <w:gridCol w:w="979"/>
        <w:gridCol w:w="977"/>
        <w:gridCol w:w="985"/>
        <w:gridCol w:w="979"/>
        <w:gridCol w:w="997"/>
        <w:gridCol w:w="997"/>
        <w:gridCol w:w="981"/>
      </w:tblGrid>
      <w:tr w:rsidR="005A4D0A" w:rsidRPr="005A4D0A" w14:paraId="06674654" w14:textId="77777777" w:rsidTr="00A63E4C">
        <w:trPr>
          <w:trHeight w:val="320"/>
        </w:trPr>
        <w:tc>
          <w:tcPr>
            <w:tcW w:w="661" w:type="pct"/>
            <w:vMerge w:val="restart"/>
            <w:tcBorders>
              <w:top w:val="single" w:sz="8" w:space="0" w:color="FF8200"/>
              <w:left w:val="single" w:sz="8" w:space="0" w:color="FF8200"/>
              <w:bottom w:val="single" w:sz="8" w:space="0" w:color="FF8200"/>
              <w:right w:val="single" w:sz="8" w:space="0" w:color="FF8200"/>
            </w:tcBorders>
            <w:shd w:val="clear" w:color="auto" w:fill="auto"/>
            <w:vAlign w:val="center"/>
            <w:hideMark/>
          </w:tcPr>
          <w:p w14:paraId="19D227FD" w14:textId="77777777" w:rsidR="005A4D0A" w:rsidRPr="005A4D0A" w:rsidRDefault="005A4D0A" w:rsidP="005A4D0A">
            <w:pPr>
              <w:spacing w:after="0"/>
              <w:jc w:val="center"/>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Activities</w:t>
            </w:r>
          </w:p>
        </w:tc>
        <w:tc>
          <w:tcPr>
            <w:tcW w:w="4339" w:type="pct"/>
            <w:gridSpan w:val="9"/>
            <w:tcBorders>
              <w:top w:val="single" w:sz="8" w:space="0" w:color="FF8200"/>
              <w:left w:val="nil"/>
              <w:bottom w:val="single" w:sz="8" w:space="0" w:color="FF8200"/>
              <w:right w:val="nil"/>
            </w:tcBorders>
            <w:shd w:val="clear" w:color="auto" w:fill="auto"/>
            <w:vAlign w:val="center"/>
            <w:hideMark/>
          </w:tcPr>
          <w:p w14:paraId="2E54CDC8" w14:textId="77777777" w:rsidR="005A4D0A" w:rsidRPr="005A4D0A" w:rsidRDefault="005A4D0A" w:rsidP="005A4D0A">
            <w:pPr>
              <w:spacing w:after="0"/>
              <w:jc w:val="center"/>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2025</w:t>
            </w:r>
          </w:p>
        </w:tc>
      </w:tr>
      <w:tr w:rsidR="00A63E4C" w:rsidRPr="005A4D0A" w14:paraId="1A9D4938" w14:textId="77777777" w:rsidTr="00A63E4C">
        <w:trPr>
          <w:gridAfter w:val="1"/>
          <w:wAfter w:w="482" w:type="pct"/>
          <w:trHeight w:val="320"/>
        </w:trPr>
        <w:tc>
          <w:tcPr>
            <w:tcW w:w="661" w:type="pct"/>
            <w:vMerge/>
            <w:tcBorders>
              <w:top w:val="single" w:sz="8" w:space="0" w:color="FF8200"/>
              <w:left w:val="single" w:sz="8" w:space="0" w:color="FF8200"/>
              <w:bottom w:val="single" w:sz="8" w:space="0" w:color="FF8200"/>
              <w:right w:val="single" w:sz="8" w:space="0" w:color="FF8200"/>
            </w:tcBorders>
            <w:vAlign w:val="center"/>
            <w:hideMark/>
          </w:tcPr>
          <w:p w14:paraId="4301C1BB" w14:textId="77777777" w:rsidR="00A63E4C" w:rsidRPr="005A4D0A" w:rsidRDefault="00A63E4C" w:rsidP="005A4D0A">
            <w:pPr>
              <w:spacing w:after="0"/>
              <w:rPr>
                <w:rFonts w:ascii="Arial" w:eastAsia="Times New Roman" w:hAnsi="Arial" w:cs="Arial"/>
                <w:b/>
                <w:bCs/>
                <w:color w:val="000000"/>
                <w:sz w:val="18"/>
                <w:szCs w:val="18"/>
                <w:lang w:eastAsia="en-GB"/>
              </w:rPr>
            </w:pPr>
          </w:p>
        </w:tc>
        <w:tc>
          <w:tcPr>
            <w:tcW w:w="479" w:type="pct"/>
            <w:tcBorders>
              <w:top w:val="nil"/>
              <w:left w:val="nil"/>
              <w:bottom w:val="single" w:sz="8" w:space="0" w:color="FF8200"/>
              <w:right w:val="single" w:sz="8" w:space="0" w:color="FF8200"/>
            </w:tcBorders>
            <w:shd w:val="clear" w:color="auto" w:fill="auto"/>
            <w:vAlign w:val="center"/>
            <w:hideMark/>
          </w:tcPr>
          <w:p w14:paraId="73484F16"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April</w:t>
            </w:r>
          </w:p>
        </w:tc>
        <w:tc>
          <w:tcPr>
            <w:tcW w:w="479" w:type="pct"/>
            <w:tcBorders>
              <w:top w:val="nil"/>
              <w:left w:val="nil"/>
              <w:bottom w:val="single" w:sz="8" w:space="0" w:color="FF8200"/>
              <w:right w:val="single" w:sz="8" w:space="0" w:color="FF8200"/>
            </w:tcBorders>
            <w:shd w:val="clear" w:color="auto" w:fill="auto"/>
            <w:vAlign w:val="center"/>
            <w:hideMark/>
          </w:tcPr>
          <w:p w14:paraId="380EFDEC"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May</w:t>
            </w:r>
          </w:p>
        </w:tc>
        <w:tc>
          <w:tcPr>
            <w:tcW w:w="480" w:type="pct"/>
            <w:tcBorders>
              <w:top w:val="nil"/>
              <w:left w:val="nil"/>
              <w:bottom w:val="single" w:sz="8" w:space="0" w:color="FF8200"/>
              <w:right w:val="single" w:sz="8" w:space="0" w:color="FF8200"/>
            </w:tcBorders>
            <w:shd w:val="clear" w:color="auto" w:fill="auto"/>
            <w:vAlign w:val="center"/>
            <w:hideMark/>
          </w:tcPr>
          <w:p w14:paraId="3230152F"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June</w:t>
            </w:r>
          </w:p>
        </w:tc>
        <w:tc>
          <w:tcPr>
            <w:tcW w:w="479" w:type="pct"/>
            <w:tcBorders>
              <w:top w:val="nil"/>
              <w:left w:val="nil"/>
              <w:bottom w:val="single" w:sz="8" w:space="0" w:color="FF8200"/>
              <w:right w:val="single" w:sz="8" w:space="0" w:color="FF8200"/>
            </w:tcBorders>
            <w:shd w:val="clear" w:color="auto" w:fill="auto"/>
            <w:vAlign w:val="center"/>
            <w:hideMark/>
          </w:tcPr>
          <w:p w14:paraId="79A98CBB"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July</w:t>
            </w:r>
          </w:p>
        </w:tc>
        <w:tc>
          <w:tcPr>
            <w:tcW w:w="483" w:type="pct"/>
            <w:tcBorders>
              <w:top w:val="nil"/>
              <w:left w:val="nil"/>
              <w:bottom w:val="single" w:sz="8" w:space="0" w:color="FF8200"/>
              <w:right w:val="single" w:sz="8" w:space="0" w:color="FF8200"/>
            </w:tcBorders>
            <w:shd w:val="clear" w:color="auto" w:fill="auto"/>
            <w:vAlign w:val="center"/>
            <w:hideMark/>
          </w:tcPr>
          <w:p w14:paraId="7888C7E8"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August</w:t>
            </w:r>
          </w:p>
        </w:tc>
        <w:tc>
          <w:tcPr>
            <w:tcW w:w="480" w:type="pct"/>
            <w:tcBorders>
              <w:top w:val="nil"/>
              <w:left w:val="nil"/>
              <w:bottom w:val="single" w:sz="8" w:space="0" w:color="FF8200"/>
              <w:right w:val="single" w:sz="8" w:space="0" w:color="FF8200"/>
            </w:tcBorders>
            <w:shd w:val="clear" w:color="auto" w:fill="auto"/>
            <w:vAlign w:val="center"/>
            <w:hideMark/>
          </w:tcPr>
          <w:p w14:paraId="326A17BA"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Sept</w:t>
            </w:r>
          </w:p>
        </w:tc>
        <w:tc>
          <w:tcPr>
            <w:tcW w:w="489" w:type="pct"/>
            <w:tcBorders>
              <w:top w:val="nil"/>
              <w:left w:val="nil"/>
              <w:bottom w:val="single" w:sz="8" w:space="0" w:color="FF8200"/>
              <w:right w:val="single" w:sz="8" w:space="0" w:color="FF8200"/>
            </w:tcBorders>
            <w:shd w:val="clear" w:color="auto" w:fill="auto"/>
            <w:vAlign w:val="center"/>
            <w:hideMark/>
          </w:tcPr>
          <w:p w14:paraId="2B1D0B92"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Oct</w:t>
            </w:r>
          </w:p>
        </w:tc>
        <w:tc>
          <w:tcPr>
            <w:tcW w:w="489" w:type="pct"/>
            <w:tcBorders>
              <w:top w:val="nil"/>
              <w:left w:val="nil"/>
              <w:bottom w:val="single" w:sz="8" w:space="0" w:color="FF8200"/>
              <w:right w:val="single" w:sz="8" w:space="0" w:color="FF8200"/>
            </w:tcBorders>
            <w:shd w:val="clear" w:color="auto" w:fill="auto"/>
            <w:vAlign w:val="center"/>
            <w:hideMark/>
          </w:tcPr>
          <w:p w14:paraId="1451A114"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Nov</w:t>
            </w:r>
          </w:p>
        </w:tc>
      </w:tr>
      <w:tr w:rsidR="00A63E4C" w:rsidRPr="005A4D0A" w14:paraId="6C22F3AE" w14:textId="77777777" w:rsidTr="00A63E4C">
        <w:trPr>
          <w:gridAfter w:val="1"/>
          <w:wAfter w:w="482" w:type="pct"/>
          <w:trHeight w:val="1390"/>
        </w:trPr>
        <w:tc>
          <w:tcPr>
            <w:tcW w:w="661" w:type="pct"/>
            <w:tcBorders>
              <w:top w:val="nil"/>
              <w:left w:val="single" w:sz="8" w:space="0" w:color="FF8200"/>
              <w:bottom w:val="single" w:sz="8" w:space="0" w:color="FF8200"/>
              <w:right w:val="single" w:sz="8" w:space="0" w:color="FF8200"/>
            </w:tcBorders>
            <w:shd w:val="clear" w:color="auto" w:fill="auto"/>
            <w:vAlign w:val="center"/>
            <w:hideMark/>
          </w:tcPr>
          <w:p w14:paraId="1F0EB1BA"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Call for application for National and International consultant.</w:t>
            </w:r>
          </w:p>
        </w:tc>
        <w:tc>
          <w:tcPr>
            <w:tcW w:w="479" w:type="pct"/>
            <w:tcBorders>
              <w:top w:val="nil"/>
              <w:left w:val="nil"/>
              <w:bottom w:val="single" w:sz="8" w:space="0" w:color="FF8200"/>
              <w:right w:val="single" w:sz="8" w:space="0" w:color="FF8200"/>
            </w:tcBorders>
            <w:shd w:val="clear" w:color="auto" w:fill="C45F00" w:themeFill="background2" w:themeFillShade="80"/>
            <w:vAlign w:val="center"/>
            <w:hideMark/>
          </w:tcPr>
          <w:p w14:paraId="4B801F40"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0D3BC447"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48E58C18"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293C4651"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3" w:type="pct"/>
            <w:tcBorders>
              <w:top w:val="nil"/>
              <w:left w:val="nil"/>
              <w:bottom w:val="single" w:sz="8" w:space="0" w:color="FF8200"/>
              <w:right w:val="single" w:sz="8" w:space="0" w:color="FF8200"/>
            </w:tcBorders>
            <w:shd w:val="clear" w:color="auto" w:fill="auto"/>
            <w:vAlign w:val="center"/>
            <w:hideMark/>
          </w:tcPr>
          <w:p w14:paraId="086263DA"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419D4E2E"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4ACD0617"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366F6FDB"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r>
      <w:tr w:rsidR="00A63E4C" w:rsidRPr="005A4D0A" w14:paraId="54886A46" w14:textId="77777777" w:rsidTr="00A63E4C">
        <w:trPr>
          <w:gridAfter w:val="1"/>
          <w:wAfter w:w="482" w:type="pct"/>
          <w:trHeight w:val="470"/>
        </w:trPr>
        <w:tc>
          <w:tcPr>
            <w:tcW w:w="661" w:type="pct"/>
            <w:tcBorders>
              <w:top w:val="nil"/>
              <w:left w:val="single" w:sz="8" w:space="0" w:color="FF8200"/>
              <w:bottom w:val="single" w:sz="8" w:space="0" w:color="FF8200"/>
              <w:right w:val="single" w:sz="8" w:space="0" w:color="FF8200"/>
            </w:tcBorders>
            <w:shd w:val="clear" w:color="auto" w:fill="auto"/>
            <w:vAlign w:val="center"/>
            <w:hideMark/>
          </w:tcPr>
          <w:p w14:paraId="13EB5339"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Consultant(s) selection</w:t>
            </w:r>
          </w:p>
        </w:tc>
        <w:tc>
          <w:tcPr>
            <w:tcW w:w="479" w:type="pct"/>
            <w:tcBorders>
              <w:top w:val="nil"/>
              <w:left w:val="nil"/>
              <w:bottom w:val="single" w:sz="8" w:space="0" w:color="FF8200"/>
              <w:right w:val="single" w:sz="8" w:space="0" w:color="FF8200"/>
            </w:tcBorders>
            <w:shd w:val="clear" w:color="auto" w:fill="auto"/>
            <w:vAlign w:val="center"/>
            <w:hideMark/>
          </w:tcPr>
          <w:p w14:paraId="680FF677"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C45F00" w:themeFill="background2" w:themeFillShade="80"/>
            <w:vAlign w:val="center"/>
            <w:hideMark/>
          </w:tcPr>
          <w:p w14:paraId="476F2618"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0E155205"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62F8417C"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3" w:type="pct"/>
            <w:tcBorders>
              <w:top w:val="nil"/>
              <w:left w:val="nil"/>
              <w:bottom w:val="single" w:sz="8" w:space="0" w:color="FF8200"/>
              <w:right w:val="single" w:sz="8" w:space="0" w:color="FF8200"/>
            </w:tcBorders>
            <w:shd w:val="clear" w:color="auto" w:fill="auto"/>
            <w:vAlign w:val="center"/>
            <w:hideMark/>
          </w:tcPr>
          <w:p w14:paraId="68F530AC"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215935A4"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766B916B"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17B6A298"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r>
      <w:tr w:rsidR="00A63E4C" w:rsidRPr="005A4D0A" w14:paraId="5E467654" w14:textId="77777777" w:rsidTr="00A63E4C">
        <w:trPr>
          <w:gridAfter w:val="1"/>
          <w:wAfter w:w="482" w:type="pct"/>
          <w:trHeight w:val="470"/>
        </w:trPr>
        <w:tc>
          <w:tcPr>
            <w:tcW w:w="661" w:type="pct"/>
            <w:tcBorders>
              <w:top w:val="nil"/>
              <w:left w:val="single" w:sz="8" w:space="0" w:color="FF8200"/>
              <w:bottom w:val="single" w:sz="8" w:space="0" w:color="FF8200"/>
              <w:right w:val="single" w:sz="8" w:space="0" w:color="FF8200"/>
            </w:tcBorders>
            <w:shd w:val="clear" w:color="auto" w:fill="auto"/>
            <w:vAlign w:val="center"/>
            <w:hideMark/>
          </w:tcPr>
          <w:p w14:paraId="1061DD18"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Task force formation</w:t>
            </w:r>
          </w:p>
        </w:tc>
        <w:tc>
          <w:tcPr>
            <w:tcW w:w="479" w:type="pct"/>
            <w:tcBorders>
              <w:top w:val="nil"/>
              <w:left w:val="nil"/>
              <w:bottom w:val="single" w:sz="8" w:space="0" w:color="FF8200"/>
              <w:right w:val="single" w:sz="8" w:space="0" w:color="FF8200"/>
            </w:tcBorders>
            <w:shd w:val="clear" w:color="auto" w:fill="auto"/>
            <w:vAlign w:val="center"/>
            <w:hideMark/>
          </w:tcPr>
          <w:p w14:paraId="5B922D79"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C45F00" w:themeFill="background2" w:themeFillShade="80"/>
            <w:vAlign w:val="center"/>
            <w:hideMark/>
          </w:tcPr>
          <w:p w14:paraId="11E75C4B"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73CC5AD9"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01C61A1E"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3" w:type="pct"/>
            <w:tcBorders>
              <w:top w:val="nil"/>
              <w:left w:val="nil"/>
              <w:bottom w:val="single" w:sz="8" w:space="0" w:color="FF8200"/>
              <w:right w:val="single" w:sz="8" w:space="0" w:color="FF8200"/>
            </w:tcBorders>
            <w:shd w:val="clear" w:color="auto" w:fill="auto"/>
            <w:vAlign w:val="center"/>
            <w:hideMark/>
          </w:tcPr>
          <w:p w14:paraId="27E497F0"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07A59E05"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77ABE966"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1925E81E"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r>
      <w:tr w:rsidR="00A63E4C" w:rsidRPr="005A4D0A" w14:paraId="331CFC18" w14:textId="77777777" w:rsidTr="00A63E4C">
        <w:trPr>
          <w:gridAfter w:val="1"/>
          <w:wAfter w:w="482" w:type="pct"/>
          <w:trHeight w:val="470"/>
        </w:trPr>
        <w:tc>
          <w:tcPr>
            <w:tcW w:w="661" w:type="pct"/>
            <w:tcBorders>
              <w:top w:val="nil"/>
              <w:left w:val="single" w:sz="8" w:space="0" w:color="FF8200"/>
              <w:bottom w:val="single" w:sz="8" w:space="0" w:color="FF8200"/>
              <w:right w:val="single" w:sz="8" w:space="0" w:color="FF8200"/>
            </w:tcBorders>
            <w:shd w:val="clear" w:color="auto" w:fill="auto"/>
            <w:vAlign w:val="center"/>
            <w:hideMark/>
          </w:tcPr>
          <w:p w14:paraId="50364D88"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Inception report</w:t>
            </w:r>
          </w:p>
        </w:tc>
        <w:tc>
          <w:tcPr>
            <w:tcW w:w="479" w:type="pct"/>
            <w:tcBorders>
              <w:top w:val="nil"/>
              <w:left w:val="nil"/>
              <w:bottom w:val="single" w:sz="8" w:space="0" w:color="FF8200"/>
              <w:right w:val="single" w:sz="8" w:space="0" w:color="FF8200"/>
            </w:tcBorders>
            <w:shd w:val="clear" w:color="auto" w:fill="auto"/>
            <w:vAlign w:val="center"/>
            <w:hideMark/>
          </w:tcPr>
          <w:p w14:paraId="682FB486"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000000" w:fill="E97132"/>
            <w:vAlign w:val="center"/>
            <w:hideMark/>
          </w:tcPr>
          <w:p w14:paraId="092D6927"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2E27A2EF"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41A27348"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3" w:type="pct"/>
            <w:tcBorders>
              <w:top w:val="nil"/>
              <w:left w:val="nil"/>
              <w:bottom w:val="single" w:sz="8" w:space="0" w:color="FF8200"/>
              <w:right w:val="single" w:sz="8" w:space="0" w:color="FF8200"/>
            </w:tcBorders>
            <w:shd w:val="clear" w:color="auto" w:fill="auto"/>
            <w:vAlign w:val="center"/>
            <w:hideMark/>
          </w:tcPr>
          <w:p w14:paraId="102D5D70"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376641B8"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68F3F3E0"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71DFD5E1"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r>
      <w:tr w:rsidR="00A63E4C" w:rsidRPr="005A4D0A" w14:paraId="3884E091" w14:textId="77777777" w:rsidTr="00A63E4C">
        <w:trPr>
          <w:gridAfter w:val="1"/>
          <w:wAfter w:w="482" w:type="pct"/>
          <w:trHeight w:val="470"/>
        </w:trPr>
        <w:tc>
          <w:tcPr>
            <w:tcW w:w="661" w:type="pct"/>
            <w:tcBorders>
              <w:top w:val="nil"/>
              <w:left w:val="single" w:sz="8" w:space="0" w:color="FF8200"/>
              <w:bottom w:val="single" w:sz="8" w:space="0" w:color="FF8200"/>
              <w:right w:val="single" w:sz="8" w:space="0" w:color="FF8200"/>
            </w:tcBorders>
            <w:shd w:val="clear" w:color="auto" w:fill="auto"/>
            <w:vAlign w:val="center"/>
            <w:hideMark/>
          </w:tcPr>
          <w:p w14:paraId="79FFF929"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Initial consultation</w:t>
            </w:r>
          </w:p>
        </w:tc>
        <w:tc>
          <w:tcPr>
            <w:tcW w:w="479" w:type="pct"/>
            <w:tcBorders>
              <w:top w:val="nil"/>
              <w:left w:val="nil"/>
              <w:bottom w:val="single" w:sz="8" w:space="0" w:color="FF8200"/>
              <w:right w:val="single" w:sz="8" w:space="0" w:color="FF8200"/>
            </w:tcBorders>
            <w:shd w:val="clear" w:color="auto" w:fill="auto"/>
            <w:vAlign w:val="center"/>
            <w:hideMark/>
          </w:tcPr>
          <w:p w14:paraId="52A6362C"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000000" w:fill="E97132"/>
            <w:vAlign w:val="center"/>
            <w:hideMark/>
          </w:tcPr>
          <w:p w14:paraId="4D791D9C"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3A71CB87"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3A99DC6D"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3" w:type="pct"/>
            <w:tcBorders>
              <w:top w:val="nil"/>
              <w:left w:val="nil"/>
              <w:bottom w:val="single" w:sz="8" w:space="0" w:color="FF8200"/>
              <w:right w:val="single" w:sz="8" w:space="0" w:color="FF8200"/>
            </w:tcBorders>
            <w:shd w:val="clear" w:color="auto" w:fill="auto"/>
            <w:vAlign w:val="center"/>
            <w:hideMark/>
          </w:tcPr>
          <w:p w14:paraId="3BAA0808"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0502EADC"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5BF8A621"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6D0A2045"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r>
      <w:tr w:rsidR="00A63E4C" w:rsidRPr="005A4D0A" w14:paraId="0A524382" w14:textId="77777777" w:rsidTr="00A63E4C">
        <w:trPr>
          <w:gridAfter w:val="1"/>
          <w:wAfter w:w="482" w:type="pct"/>
          <w:trHeight w:val="470"/>
        </w:trPr>
        <w:tc>
          <w:tcPr>
            <w:tcW w:w="661" w:type="pct"/>
            <w:tcBorders>
              <w:top w:val="nil"/>
              <w:left w:val="single" w:sz="8" w:space="0" w:color="FF8200"/>
              <w:bottom w:val="single" w:sz="8" w:space="0" w:color="FF8200"/>
              <w:right w:val="single" w:sz="8" w:space="0" w:color="FF8200"/>
            </w:tcBorders>
            <w:shd w:val="clear" w:color="auto" w:fill="auto"/>
            <w:vAlign w:val="center"/>
            <w:hideMark/>
          </w:tcPr>
          <w:p w14:paraId="5CA7EAEC"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xml:space="preserve">Resources development </w:t>
            </w:r>
          </w:p>
        </w:tc>
        <w:tc>
          <w:tcPr>
            <w:tcW w:w="479" w:type="pct"/>
            <w:tcBorders>
              <w:top w:val="nil"/>
              <w:left w:val="nil"/>
              <w:bottom w:val="single" w:sz="8" w:space="0" w:color="FF8200"/>
              <w:right w:val="single" w:sz="8" w:space="0" w:color="FF8200"/>
            </w:tcBorders>
            <w:shd w:val="clear" w:color="auto" w:fill="auto"/>
            <w:vAlign w:val="center"/>
            <w:hideMark/>
          </w:tcPr>
          <w:p w14:paraId="74800A82"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6F200839"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000000" w:fill="E97132"/>
            <w:vAlign w:val="center"/>
            <w:hideMark/>
          </w:tcPr>
          <w:p w14:paraId="3AE85B3C"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000000" w:fill="E97132"/>
            <w:vAlign w:val="center"/>
            <w:hideMark/>
          </w:tcPr>
          <w:p w14:paraId="7F00CF41"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3" w:type="pct"/>
            <w:tcBorders>
              <w:top w:val="nil"/>
              <w:left w:val="nil"/>
              <w:bottom w:val="single" w:sz="8" w:space="0" w:color="FF8200"/>
              <w:right w:val="single" w:sz="8" w:space="0" w:color="FF8200"/>
            </w:tcBorders>
            <w:shd w:val="clear" w:color="000000" w:fill="E97132"/>
            <w:vAlign w:val="center"/>
            <w:hideMark/>
          </w:tcPr>
          <w:p w14:paraId="5D1BF53C"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000000" w:fill="E97132"/>
            <w:vAlign w:val="center"/>
            <w:hideMark/>
          </w:tcPr>
          <w:p w14:paraId="149BEC1F"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3CBE1543"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6342876D"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r>
      <w:tr w:rsidR="00A63E4C" w:rsidRPr="005A4D0A" w14:paraId="1AA644EE" w14:textId="77777777" w:rsidTr="00A63E4C">
        <w:trPr>
          <w:gridAfter w:val="1"/>
          <w:wAfter w:w="482" w:type="pct"/>
          <w:trHeight w:val="470"/>
        </w:trPr>
        <w:tc>
          <w:tcPr>
            <w:tcW w:w="661" w:type="pct"/>
            <w:tcBorders>
              <w:top w:val="nil"/>
              <w:left w:val="single" w:sz="8" w:space="0" w:color="FF8200"/>
              <w:bottom w:val="single" w:sz="8" w:space="0" w:color="FF8200"/>
              <w:right w:val="single" w:sz="8" w:space="0" w:color="FF8200"/>
            </w:tcBorders>
            <w:shd w:val="clear" w:color="auto" w:fill="auto"/>
            <w:vAlign w:val="center"/>
            <w:hideMark/>
          </w:tcPr>
          <w:p w14:paraId="10F47CB7"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xml:space="preserve">Final consultation </w:t>
            </w:r>
          </w:p>
        </w:tc>
        <w:tc>
          <w:tcPr>
            <w:tcW w:w="479" w:type="pct"/>
            <w:tcBorders>
              <w:top w:val="nil"/>
              <w:left w:val="nil"/>
              <w:bottom w:val="single" w:sz="8" w:space="0" w:color="FF8200"/>
              <w:right w:val="single" w:sz="8" w:space="0" w:color="FF8200"/>
            </w:tcBorders>
            <w:shd w:val="clear" w:color="auto" w:fill="auto"/>
            <w:vAlign w:val="center"/>
            <w:hideMark/>
          </w:tcPr>
          <w:p w14:paraId="40D1C853"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4AFEDFC9"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2EDBEE5F"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46548FDF"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3" w:type="pct"/>
            <w:tcBorders>
              <w:top w:val="nil"/>
              <w:left w:val="nil"/>
              <w:bottom w:val="single" w:sz="8" w:space="0" w:color="FF8200"/>
              <w:right w:val="single" w:sz="8" w:space="0" w:color="FF8200"/>
            </w:tcBorders>
            <w:shd w:val="clear" w:color="auto" w:fill="auto"/>
            <w:vAlign w:val="center"/>
            <w:hideMark/>
          </w:tcPr>
          <w:p w14:paraId="3520444A"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31E8A266"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9" w:type="pct"/>
            <w:tcBorders>
              <w:top w:val="nil"/>
              <w:left w:val="nil"/>
              <w:bottom w:val="single" w:sz="8" w:space="0" w:color="FF8200"/>
              <w:right w:val="single" w:sz="8" w:space="0" w:color="FF8200"/>
            </w:tcBorders>
            <w:shd w:val="clear" w:color="000000" w:fill="E97132"/>
            <w:noWrap/>
            <w:vAlign w:val="center"/>
            <w:hideMark/>
          </w:tcPr>
          <w:p w14:paraId="44AB02E3"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6F9AA484"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r>
      <w:tr w:rsidR="00A63E4C" w:rsidRPr="005A4D0A" w14:paraId="74E2B7E0" w14:textId="77777777" w:rsidTr="00A63E4C">
        <w:trPr>
          <w:gridAfter w:val="1"/>
          <w:wAfter w:w="482" w:type="pct"/>
          <w:trHeight w:val="470"/>
        </w:trPr>
        <w:tc>
          <w:tcPr>
            <w:tcW w:w="661" w:type="pct"/>
            <w:tcBorders>
              <w:top w:val="nil"/>
              <w:left w:val="single" w:sz="8" w:space="0" w:color="FF8200"/>
              <w:bottom w:val="single" w:sz="8" w:space="0" w:color="FF8200"/>
              <w:right w:val="single" w:sz="8" w:space="0" w:color="FF8200"/>
            </w:tcBorders>
            <w:shd w:val="clear" w:color="auto" w:fill="auto"/>
            <w:vAlign w:val="center"/>
            <w:hideMark/>
          </w:tcPr>
          <w:p w14:paraId="77AF245E"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Resources Submission</w:t>
            </w:r>
          </w:p>
        </w:tc>
        <w:tc>
          <w:tcPr>
            <w:tcW w:w="479" w:type="pct"/>
            <w:tcBorders>
              <w:top w:val="nil"/>
              <w:left w:val="nil"/>
              <w:bottom w:val="single" w:sz="8" w:space="0" w:color="FF8200"/>
              <w:right w:val="single" w:sz="8" w:space="0" w:color="FF8200"/>
            </w:tcBorders>
            <w:shd w:val="clear" w:color="auto" w:fill="auto"/>
            <w:vAlign w:val="center"/>
            <w:hideMark/>
          </w:tcPr>
          <w:p w14:paraId="1841936B"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000000" w:fill="FFFFFF"/>
            <w:vAlign w:val="center"/>
            <w:hideMark/>
          </w:tcPr>
          <w:p w14:paraId="26C1272C"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000000" w:fill="FFFFFF"/>
            <w:vAlign w:val="center"/>
            <w:hideMark/>
          </w:tcPr>
          <w:p w14:paraId="5B087868"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6F001B2D"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3" w:type="pct"/>
            <w:tcBorders>
              <w:top w:val="nil"/>
              <w:left w:val="nil"/>
              <w:bottom w:val="single" w:sz="8" w:space="0" w:color="FF8200"/>
              <w:right w:val="single" w:sz="8" w:space="0" w:color="FF8200"/>
            </w:tcBorders>
            <w:shd w:val="clear" w:color="auto" w:fill="auto"/>
            <w:vAlign w:val="center"/>
            <w:hideMark/>
          </w:tcPr>
          <w:p w14:paraId="721F6EAD"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3AE5E141"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9" w:type="pct"/>
            <w:tcBorders>
              <w:top w:val="nil"/>
              <w:left w:val="nil"/>
              <w:bottom w:val="single" w:sz="8" w:space="0" w:color="FF8200"/>
              <w:right w:val="single" w:sz="8" w:space="0" w:color="FF8200"/>
            </w:tcBorders>
            <w:shd w:val="clear" w:color="000000" w:fill="E97132"/>
            <w:noWrap/>
            <w:vAlign w:val="center"/>
            <w:hideMark/>
          </w:tcPr>
          <w:p w14:paraId="1FFF3E93"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1E105D94"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r>
      <w:tr w:rsidR="00A63E4C" w:rsidRPr="005A4D0A" w14:paraId="2B7E4F6D" w14:textId="77777777" w:rsidTr="00A63E4C">
        <w:trPr>
          <w:gridAfter w:val="1"/>
          <w:wAfter w:w="482" w:type="pct"/>
          <w:trHeight w:val="470"/>
        </w:trPr>
        <w:tc>
          <w:tcPr>
            <w:tcW w:w="661" w:type="pct"/>
            <w:tcBorders>
              <w:top w:val="nil"/>
              <w:left w:val="single" w:sz="8" w:space="0" w:color="FF8200"/>
              <w:bottom w:val="single" w:sz="8" w:space="0" w:color="FF8200"/>
              <w:right w:val="single" w:sz="8" w:space="0" w:color="FF8200"/>
            </w:tcBorders>
            <w:shd w:val="clear" w:color="auto" w:fill="auto"/>
            <w:vAlign w:val="center"/>
            <w:hideMark/>
          </w:tcPr>
          <w:p w14:paraId="38B506A9"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Dissemination</w:t>
            </w:r>
          </w:p>
        </w:tc>
        <w:tc>
          <w:tcPr>
            <w:tcW w:w="479" w:type="pct"/>
            <w:tcBorders>
              <w:top w:val="nil"/>
              <w:left w:val="nil"/>
              <w:bottom w:val="single" w:sz="8" w:space="0" w:color="FF8200"/>
              <w:right w:val="single" w:sz="8" w:space="0" w:color="FF8200"/>
            </w:tcBorders>
            <w:shd w:val="clear" w:color="auto" w:fill="auto"/>
            <w:vAlign w:val="center"/>
            <w:hideMark/>
          </w:tcPr>
          <w:p w14:paraId="44F603B7"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2CF95A79"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000000" w:fill="FFFFFF"/>
            <w:vAlign w:val="center"/>
            <w:hideMark/>
          </w:tcPr>
          <w:p w14:paraId="7510A95F"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79" w:type="pct"/>
            <w:tcBorders>
              <w:top w:val="nil"/>
              <w:left w:val="nil"/>
              <w:bottom w:val="single" w:sz="8" w:space="0" w:color="FF8200"/>
              <w:right w:val="single" w:sz="8" w:space="0" w:color="FF8200"/>
            </w:tcBorders>
            <w:shd w:val="clear" w:color="auto" w:fill="auto"/>
            <w:vAlign w:val="center"/>
            <w:hideMark/>
          </w:tcPr>
          <w:p w14:paraId="1B3EA46A"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3" w:type="pct"/>
            <w:tcBorders>
              <w:top w:val="nil"/>
              <w:left w:val="nil"/>
              <w:bottom w:val="single" w:sz="8" w:space="0" w:color="FF8200"/>
              <w:right w:val="single" w:sz="8" w:space="0" w:color="FF8200"/>
            </w:tcBorders>
            <w:shd w:val="clear" w:color="auto" w:fill="auto"/>
            <w:vAlign w:val="center"/>
            <w:hideMark/>
          </w:tcPr>
          <w:p w14:paraId="4D363692"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0" w:type="pct"/>
            <w:tcBorders>
              <w:top w:val="nil"/>
              <w:left w:val="nil"/>
              <w:bottom w:val="single" w:sz="8" w:space="0" w:color="FF8200"/>
              <w:right w:val="single" w:sz="8" w:space="0" w:color="FF8200"/>
            </w:tcBorders>
            <w:shd w:val="clear" w:color="auto" w:fill="auto"/>
            <w:vAlign w:val="center"/>
            <w:hideMark/>
          </w:tcPr>
          <w:p w14:paraId="33D8647E" w14:textId="77777777" w:rsidR="00A63E4C" w:rsidRPr="005A4D0A" w:rsidRDefault="00A63E4C" w:rsidP="005A4D0A">
            <w:pPr>
              <w:spacing w:after="0"/>
              <w:rPr>
                <w:rFonts w:ascii="Arial" w:eastAsia="Times New Roman" w:hAnsi="Arial" w:cs="Arial"/>
                <w:b/>
                <w:bCs/>
                <w:color w:val="000000"/>
                <w:sz w:val="18"/>
                <w:szCs w:val="18"/>
                <w:lang w:eastAsia="en-GB"/>
              </w:rPr>
            </w:pPr>
            <w:r w:rsidRPr="005A4D0A">
              <w:rPr>
                <w:rFonts w:ascii="Arial" w:eastAsia="Times New Roman" w:hAnsi="Arial" w:cs="Arial"/>
                <w:b/>
                <w:bCs/>
                <w:color w:val="000000"/>
                <w:sz w:val="18"/>
                <w:szCs w:val="18"/>
                <w:lang w:eastAsia="en-GB"/>
              </w:rPr>
              <w:t> </w:t>
            </w:r>
          </w:p>
        </w:tc>
        <w:tc>
          <w:tcPr>
            <w:tcW w:w="489" w:type="pct"/>
            <w:tcBorders>
              <w:top w:val="nil"/>
              <w:left w:val="nil"/>
              <w:bottom w:val="single" w:sz="8" w:space="0" w:color="FF8200"/>
              <w:right w:val="single" w:sz="8" w:space="0" w:color="FF8200"/>
            </w:tcBorders>
            <w:shd w:val="clear" w:color="auto" w:fill="auto"/>
            <w:noWrap/>
            <w:vAlign w:val="center"/>
            <w:hideMark/>
          </w:tcPr>
          <w:p w14:paraId="0F940D5E"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c>
          <w:tcPr>
            <w:tcW w:w="489" w:type="pct"/>
            <w:tcBorders>
              <w:top w:val="nil"/>
              <w:left w:val="nil"/>
              <w:bottom w:val="single" w:sz="8" w:space="0" w:color="FF8200"/>
              <w:right w:val="single" w:sz="8" w:space="0" w:color="FF8200"/>
            </w:tcBorders>
            <w:shd w:val="clear" w:color="000000" w:fill="E97132"/>
            <w:noWrap/>
            <w:vAlign w:val="center"/>
            <w:hideMark/>
          </w:tcPr>
          <w:p w14:paraId="3DD18F96" w14:textId="77777777" w:rsidR="00A63E4C" w:rsidRPr="005A4D0A" w:rsidRDefault="00A63E4C" w:rsidP="005A4D0A">
            <w:pPr>
              <w:spacing w:after="0"/>
              <w:rPr>
                <w:rFonts w:ascii="Arial" w:eastAsia="Times New Roman" w:hAnsi="Arial" w:cs="Arial"/>
                <w:color w:val="000000"/>
                <w:sz w:val="18"/>
                <w:szCs w:val="18"/>
                <w:lang w:eastAsia="en-GB"/>
              </w:rPr>
            </w:pPr>
            <w:r w:rsidRPr="005A4D0A">
              <w:rPr>
                <w:rFonts w:ascii="Arial" w:eastAsia="Times New Roman" w:hAnsi="Arial" w:cs="Arial"/>
                <w:color w:val="000000"/>
                <w:sz w:val="18"/>
                <w:szCs w:val="18"/>
                <w:lang w:eastAsia="en-GB"/>
              </w:rPr>
              <w:t> </w:t>
            </w:r>
          </w:p>
        </w:tc>
      </w:tr>
    </w:tbl>
    <w:p w14:paraId="56910BA8" w14:textId="565DA806" w:rsidR="005A4D0A" w:rsidRDefault="005A4D0A" w:rsidP="005A4D0A">
      <w:pPr>
        <w:spacing w:line="276" w:lineRule="auto"/>
        <w:rPr>
          <w:rFonts w:asciiTheme="majorHAnsi" w:eastAsiaTheme="majorEastAsia" w:hAnsiTheme="majorHAnsi" w:cstheme="majorBidi"/>
          <w:b/>
          <w:bCs/>
          <w:color w:val="230859" w:themeColor="text2"/>
          <w:sz w:val="28"/>
          <w:szCs w:val="28"/>
        </w:rPr>
      </w:pPr>
    </w:p>
    <w:p w14:paraId="15790C3E" w14:textId="77777777" w:rsidR="005A4D0A" w:rsidRPr="00CC4DE0" w:rsidRDefault="005A4D0A" w:rsidP="005A4D0A">
      <w:pPr>
        <w:spacing w:line="276" w:lineRule="auto"/>
        <w:rPr>
          <w:rFonts w:asciiTheme="majorHAnsi" w:eastAsiaTheme="majorEastAsia" w:hAnsiTheme="majorHAnsi" w:cstheme="majorBidi"/>
          <w:b/>
          <w:bCs/>
          <w:color w:val="230859" w:themeColor="text2"/>
          <w:sz w:val="28"/>
          <w:szCs w:val="28"/>
        </w:rPr>
      </w:pPr>
      <w:r w:rsidRPr="00CC4DE0">
        <w:rPr>
          <w:rFonts w:asciiTheme="majorHAnsi" w:eastAsiaTheme="majorEastAsia" w:hAnsiTheme="majorHAnsi" w:cstheme="majorBidi"/>
          <w:b/>
          <w:bCs/>
          <w:color w:val="230859" w:themeColor="text2"/>
          <w:sz w:val="28"/>
          <w:szCs w:val="28"/>
        </w:rPr>
        <w:t>How to Apply</w:t>
      </w:r>
    </w:p>
    <w:p w14:paraId="56A02AAC" w14:textId="3316CF35" w:rsidR="003246CD" w:rsidRDefault="003246CD" w:rsidP="005A4D0A">
      <w:pPr>
        <w:spacing w:line="276" w:lineRule="auto"/>
      </w:pPr>
      <w:r w:rsidRPr="003246CD">
        <w:t xml:space="preserve">Interested and eligible applicants should submit a cover letter outlining their availability, key competencies required for the role, daily rate, and a CV to </w:t>
      </w:r>
      <w:hyperlink r:id="rId13" w:history="1">
        <w:r w:rsidRPr="0004532D">
          <w:rPr>
            <w:rStyle w:val="Hyperlink"/>
          </w:rPr>
          <w:t>consultant@britishcouncil.org.np</w:t>
        </w:r>
      </w:hyperlink>
      <w:r>
        <w:rPr>
          <w:rStyle w:val="Hyperlink"/>
        </w:rPr>
        <w:t xml:space="preserve"> </w:t>
      </w:r>
      <w:r w:rsidR="00D7646B" w:rsidRPr="003246CD">
        <w:t xml:space="preserve">by </w:t>
      </w:r>
      <w:r w:rsidR="00D7646B">
        <w:t>14 May 2025.</w:t>
      </w:r>
    </w:p>
    <w:sectPr w:rsidR="003246CD" w:rsidSect="00CD430F">
      <w:headerReference w:type="default" r:id="rId14"/>
      <w:footerReference w:type="even" r:id="rId15"/>
      <w:footerReference w:type="default" r:id="rId16"/>
      <w:headerReference w:type="first" r:id="rId17"/>
      <w:footerReference w:type="first" r:id="rId18"/>
      <w:pgSz w:w="11906" w:h="16838"/>
      <w:pgMar w:top="1418"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637F" w14:textId="77777777" w:rsidR="005A4D0A" w:rsidRDefault="005A4D0A" w:rsidP="00501B09">
      <w:r>
        <w:separator/>
      </w:r>
    </w:p>
  </w:endnote>
  <w:endnote w:type="continuationSeparator" w:id="0">
    <w:p w14:paraId="6F902D3C" w14:textId="77777777" w:rsidR="005A4D0A" w:rsidRDefault="005A4D0A" w:rsidP="00501B09">
      <w:r>
        <w:continuationSeparator/>
      </w:r>
    </w:p>
  </w:endnote>
  <w:endnote w:type="continuationNotice" w:id="1">
    <w:p w14:paraId="53106266" w14:textId="77777777" w:rsidR="00AC0B28" w:rsidRDefault="00AC0B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 Council Sans">
    <w:panose1 w:val="020B0504020202020204"/>
    <w:charset w:val="00"/>
    <w:family w:val="swiss"/>
    <w:pitch w:val="variable"/>
    <w:sig w:usb0="800002A7" w:usb1="0000004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EndPr>
      <w:rPr>
        <w:rStyle w:val="PageNumber"/>
      </w:rPr>
    </w:sdtEndPr>
    <w:sdtContent>
      <w:p w14:paraId="13C71B08" w14:textId="77777777" w:rsidR="006A5C14" w:rsidRDefault="006A5C14" w:rsidP="00C458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64B980"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EndPr>
      <w:rPr>
        <w:rStyle w:val="PageNumber"/>
      </w:rPr>
    </w:sdtEndPr>
    <w:sdtContent>
      <w:p w14:paraId="060F10CF" w14:textId="77777777" w:rsidR="006A5C14" w:rsidRDefault="006A5C14" w:rsidP="00C458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0491AB"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7337"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1BF8" w14:textId="77777777" w:rsidR="005A4D0A" w:rsidRDefault="005A4D0A" w:rsidP="00501B09">
      <w:r>
        <w:separator/>
      </w:r>
    </w:p>
  </w:footnote>
  <w:footnote w:type="continuationSeparator" w:id="0">
    <w:p w14:paraId="131FFC05" w14:textId="77777777" w:rsidR="005A4D0A" w:rsidRDefault="005A4D0A" w:rsidP="00501B09">
      <w:r>
        <w:continuationSeparator/>
      </w:r>
    </w:p>
  </w:footnote>
  <w:footnote w:type="continuationNotice" w:id="1">
    <w:p w14:paraId="128379F0" w14:textId="77777777" w:rsidR="00AC0B28" w:rsidRDefault="00AC0B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4605" w14:textId="77777777" w:rsidR="00C51943" w:rsidRDefault="00C51943">
    <w:pPr>
      <w:pStyle w:val="Header"/>
    </w:pPr>
    <w:r>
      <w:rPr>
        <w:rFonts w:ascii="British Council Sans Bold" w:hAnsi="British Council Sans Bold"/>
        <w:noProof/>
        <w:color w:val="FF00C8" w:themeColor="accent2"/>
        <w:sz w:val="40"/>
        <w:szCs w:val="40"/>
        <w:u w:val="single"/>
        <w:lang w:val="en-US"/>
      </w:rPr>
      <mc:AlternateContent>
        <mc:Choice Requires="wps">
          <w:drawing>
            <wp:anchor distT="0" distB="0" distL="114300" distR="114300" simplePos="0" relativeHeight="251658240" behindDoc="0" locked="0" layoutInCell="1" allowOverlap="1" wp14:anchorId="6255D55E" wp14:editId="11E768F8">
              <wp:simplePos x="0" y="0"/>
              <wp:positionH relativeFrom="page">
                <wp:posOffset>540385</wp:posOffset>
              </wp:positionH>
              <wp:positionV relativeFrom="page">
                <wp:posOffset>540385</wp:posOffset>
              </wp:positionV>
              <wp:extent cx="489600" cy="0"/>
              <wp:effectExtent l="12700" t="12700" r="3111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9FF0025" id="Straight Connector 3" o:spid="_x0000_s1026" alt="&quot;&quot;"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42.55pt" to="81.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" strokecolor="#ff8200 [3204]" strokeweight="3pt">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3895" w14:textId="77777777" w:rsidR="00436649" w:rsidRDefault="00436649">
    <w:pPr>
      <w:pStyle w:val="Header"/>
    </w:pPr>
    <w:r>
      <w:rPr>
        <w:noProof/>
        <w:lang w:val="en-US"/>
      </w:rPr>
      <w:drawing>
        <wp:inline distT="0" distB="0" distL="0" distR="0" wp14:anchorId="75B2A232" wp14:editId="61054987">
          <wp:extent cx="1612800" cy="453600"/>
          <wp:effectExtent l="0" t="0" r="635"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E52"/>
    <w:multiLevelType w:val="hybridMultilevel"/>
    <w:tmpl w:val="A18617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2B0CB8"/>
    <w:multiLevelType w:val="hybridMultilevel"/>
    <w:tmpl w:val="DB20DBB6"/>
    <w:lvl w:ilvl="0" w:tplc="08090001">
      <w:start w:val="1"/>
      <w:numFmt w:val="bullet"/>
      <w:lvlText w:val=""/>
      <w:lvlJc w:val="left"/>
      <w:pPr>
        <w:ind w:left="501" w:hanging="360"/>
      </w:pPr>
      <w:rPr>
        <w:rFonts w:ascii="Symbol" w:hAnsi="Symbol"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 w15:restartNumberingAfterBreak="0">
    <w:nsid w:val="26455431"/>
    <w:multiLevelType w:val="hybridMultilevel"/>
    <w:tmpl w:val="5C6C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374F3"/>
    <w:multiLevelType w:val="hybridMultilevel"/>
    <w:tmpl w:val="C70CC974"/>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5" w15:restartNumberingAfterBreak="0">
    <w:nsid w:val="35663871"/>
    <w:multiLevelType w:val="hybridMultilevel"/>
    <w:tmpl w:val="1EA281C6"/>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6" w15:restartNumberingAfterBreak="0">
    <w:nsid w:val="382B1921"/>
    <w:multiLevelType w:val="hybridMultilevel"/>
    <w:tmpl w:val="8228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656B2"/>
    <w:multiLevelType w:val="multilevel"/>
    <w:tmpl w:val="6F20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37479"/>
    <w:multiLevelType w:val="hybridMultilevel"/>
    <w:tmpl w:val="292A9E86"/>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9" w15:restartNumberingAfterBreak="0">
    <w:nsid w:val="5B8D0363"/>
    <w:multiLevelType w:val="hybridMultilevel"/>
    <w:tmpl w:val="3280D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FF82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FF820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E40B46"/>
    <w:multiLevelType w:val="hybridMultilevel"/>
    <w:tmpl w:val="666C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FF82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609743">
    <w:abstractNumId w:val="10"/>
  </w:num>
  <w:num w:numId="2" w16cid:durableId="1552425858">
    <w:abstractNumId w:val="14"/>
  </w:num>
  <w:num w:numId="3" w16cid:durableId="865220746">
    <w:abstractNumId w:val="1"/>
  </w:num>
  <w:num w:numId="4" w16cid:durableId="1369181897">
    <w:abstractNumId w:val="12"/>
  </w:num>
  <w:num w:numId="5" w16cid:durableId="1831483581">
    <w:abstractNumId w:val="11"/>
  </w:num>
  <w:num w:numId="6" w16cid:durableId="308900942">
    <w:abstractNumId w:val="10"/>
    <w:lvlOverride w:ilvl="0">
      <w:startOverride w:val="1"/>
    </w:lvlOverride>
  </w:num>
  <w:num w:numId="7" w16cid:durableId="1475872593">
    <w:abstractNumId w:val="10"/>
    <w:lvlOverride w:ilvl="0">
      <w:startOverride w:val="1"/>
    </w:lvlOverride>
  </w:num>
  <w:num w:numId="8" w16cid:durableId="1300496551">
    <w:abstractNumId w:val="10"/>
    <w:lvlOverride w:ilvl="0">
      <w:startOverride w:val="1"/>
    </w:lvlOverride>
  </w:num>
  <w:num w:numId="9" w16cid:durableId="1706325757">
    <w:abstractNumId w:val="10"/>
    <w:lvlOverride w:ilvl="0">
      <w:startOverride w:val="1"/>
    </w:lvlOverride>
  </w:num>
  <w:num w:numId="10" w16cid:durableId="1853109577">
    <w:abstractNumId w:val="2"/>
  </w:num>
  <w:num w:numId="11" w16cid:durableId="1728718064">
    <w:abstractNumId w:val="6"/>
  </w:num>
  <w:num w:numId="12" w16cid:durableId="207035132">
    <w:abstractNumId w:val="14"/>
  </w:num>
  <w:num w:numId="13" w16cid:durableId="177081687">
    <w:abstractNumId w:val="14"/>
  </w:num>
  <w:num w:numId="14" w16cid:durableId="271132158">
    <w:abstractNumId w:val="14"/>
  </w:num>
  <w:num w:numId="15" w16cid:durableId="2100983614">
    <w:abstractNumId w:val="7"/>
  </w:num>
  <w:num w:numId="16" w16cid:durableId="2099522499">
    <w:abstractNumId w:val="3"/>
  </w:num>
  <w:num w:numId="17" w16cid:durableId="1750225575">
    <w:abstractNumId w:val="9"/>
  </w:num>
  <w:num w:numId="18" w16cid:durableId="1390959479">
    <w:abstractNumId w:val="5"/>
  </w:num>
  <w:num w:numId="19" w16cid:durableId="316617565">
    <w:abstractNumId w:val="4"/>
  </w:num>
  <w:num w:numId="20" w16cid:durableId="2013097495">
    <w:abstractNumId w:val="8"/>
  </w:num>
  <w:num w:numId="21" w16cid:durableId="1611936170">
    <w:abstractNumId w:val="0"/>
  </w:num>
  <w:num w:numId="22" w16cid:durableId="904802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0A"/>
    <w:rsid w:val="0001366F"/>
    <w:rsid w:val="00017213"/>
    <w:rsid w:val="00061708"/>
    <w:rsid w:val="0008320D"/>
    <w:rsid w:val="00090BC9"/>
    <w:rsid w:val="000915E9"/>
    <w:rsid w:val="0009586F"/>
    <w:rsid w:val="000B1860"/>
    <w:rsid w:val="000B6479"/>
    <w:rsid w:val="000D1304"/>
    <w:rsid w:val="00133198"/>
    <w:rsid w:val="0015777E"/>
    <w:rsid w:val="00164D7A"/>
    <w:rsid w:val="00171C91"/>
    <w:rsid w:val="001827B9"/>
    <w:rsid w:val="001836E2"/>
    <w:rsid w:val="001C08F3"/>
    <w:rsid w:val="001C426F"/>
    <w:rsid w:val="001F23BE"/>
    <w:rsid w:val="001F74A8"/>
    <w:rsid w:val="00203DD3"/>
    <w:rsid w:val="00216438"/>
    <w:rsid w:val="002210CD"/>
    <w:rsid w:val="00227CE6"/>
    <w:rsid w:val="00235839"/>
    <w:rsid w:val="00245E96"/>
    <w:rsid w:val="002470B5"/>
    <w:rsid w:val="00251965"/>
    <w:rsid w:val="002543FB"/>
    <w:rsid w:val="00255E1A"/>
    <w:rsid w:val="002903AB"/>
    <w:rsid w:val="002D6D4C"/>
    <w:rsid w:val="002E24F1"/>
    <w:rsid w:val="002E6462"/>
    <w:rsid w:val="002E69BA"/>
    <w:rsid w:val="002F1CB5"/>
    <w:rsid w:val="00312661"/>
    <w:rsid w:val="003246CD"/>
    <w:rsid w:val="00350DF9"/>
    <w:rsid w:val="0036733D"/>
    <w:rsid w:val="00373935"/>
    <w:rsid w:val="00375658"/>
    <w:rsid w:val="00383AFE"/>
    <w:rsid w:val="00394320"/>
    <w:rsid w:val="003A1E90"/>
    <w:rsid w:val="003A4EFD"/>
    <w:rsid w:val="003C28FA"/>
    <w:rsid w:val="003C4078"/>
    <w:rsid w:val="003F6938"/>
    <w:rsid w:val="004214D6"/>
    <w:rsid w:val="00436649"/>
    <w:rsid w:val="004373EF"/>
    <w:rsid w:val="00447C01"/>
    <w:rsid w:val="00451902"/>
    <w:rsid w:val="00465F00"/>
    <w:rsid w:val="00473AB0"/>
    <w:rsid w:val="004828E6"/>
    <w:rsid w:val="004836CE"/>
    <w:rsid w:val="004A687D"/>
    <w:rsid w:val="004B3E18"/>
    <w:rsid w:val="004C1126"/>
    <w:rsid w:val="004C53F8"/>
    <w:rsid w:val="004E6399"/>
    <w:rsid w:val="00501B09"/>
    <w:rsid w:val="005031F7"/>
    <w:rsid w:val="00504210"/>
    <w:rsid w:val="00511C6E"/>
    <w:rsid w:val="00542CB1"/>
    <w:rsid w:val="00544FAB"/>
    <w:rsid w:val="00561609"/>
    <w:rsid w:val="00561949"/>
    <w:rsid w:val="00571086"/>
    <w:rsid w:val="00581B8D"/>
    <w:rsid w:val="00584276"/>
    <w:rsid w:val="005A12DB"/>
    <w:rsid w:val="005A1538"/>
    <w:rsid w:val="005A4D0A"/>
    <w:rsid w:val="005B740E"/>
    <w:rsid w:val="005C3CE1"/>
    <w:rsid w:val="005E6DD9"/>
    <w:rsid w:val="005F56F7"/>
    <w:rsid w:val="005F5A16"/>
    <w:rsid w:val="00603294"/>
    <w:rsid w:val="006070BB"/>
    <w:rsid w:val="00622545"/>
    <w:rsid w:val="00627638"/>
    <w:rsid w:val="00631132"/>
    <w:rsid w:val="00645771"/>
    <w:rsid w:val="00656405"/>
    <w:rsid w:val="00673245"/>
    <w:rsid w:val="00681414"/>
    <w:rsid w:val="00682682"/>
    <w:rsid w:val="006A0CBC"/>
    <w:rsid w:val="006A5C14"/>
    <w:rsid w:val="006B11C6"/>
    <w:rsid w:val="006F3E75"/>
    <w:rsid w:val="0074143F"/>
    <w:rsid w:val="0075029B"/>
    <w:rsid w:val="007542A5"/>
    <w:rsid w:val="007744DD"/>
    <w:rsid w:val="00776B7B"/>
    <w:rsid w:val="00777B35"/>
    <w:rsid w:val="00783AEF"/>
    <w:rsid w:val="00785792"/>
    <w:rsid w:val="007A21C7"/>
    <w:rsid w:val="007C6709"/>
    <w:rsid w:val="007D4085"/>
    <w:rsid w:val="007E31DD"/>
    <w:rsid w:val="00812A54"/>
    <w:rsid w:val="00835CCA"/>
    <w:rsid w:val="0083671D"/>
    <w:rsid w:val="00837752"/>
    <w:rsid w:val="008570E7"/>
    <w:rsid w:val="008577DF"/>
    <w:rsid w:val="00862695"/>
    <w:rsid w:val="00866DF9"/>
    <w:rsid w:val="00886635"/>
    <w:rsid w:val="008B36A3"/>
    <w:rsid w:val="008F0F5E"/>
    <w:rsid w:val="008F2385"/>
    <w:rsid w:val="0090064B"/>
    <w:rsid w:val="009156E4"/>
    <w:rsid w:val="00917A33"/>
    <w:rsid w:val="00931784"/>
    <w:rsid w:val="00937A80"/>
    <w:rsid w:val="009433CA"/>
    <w:rsid w:val="0094615A"/>
    <w:rsid w:val="00971C7A"/>
    <w:rsid w:val="00981871"/>
    <w:rsid w:val="00986A3B"/>
    <w:rsid w:val="009A3D98"/>
    <w:rsid w:val="009A3E16"/>
    <w:rsid w:val="009A4389"/>
    <w:rsid w:val="009B1BEE"/>
    <w:rsid w:val="009B49DE"/>
    <w:rsid w:val="009B4BF2"/>
    <w:rsid w:val="009D1DFE"/>
    <w:rsid w:val="009D6BDE"/>
    <w:rsid w:val="009F116A"/>
    <w:rsid w:val="00A04E3C"/>
    <w:rsid w:val="00A06789"/>
    <w:rsid w:val="00A305E6"/>
    <w:rsid w:val="00A331D9"/>
    <w:rsid w:val="00A345CF"/>
    <w:rsid w:val="00A57172"/>
    <w:rsid w:val="00A63E4C"/>
    <w:rsid w:val="00A739CD"/>
    <w:rsid w:val="00A80D28"/>
    <w:rsid w:val="00A82CA5"/>
    <w:rsid w:val="00A95CD7"/>
    <w:rsid w:val="00AA6BA3"/>
    <w:rsid w:val="00AC0B28"/>
    <w:rsid w:val="00AC3485"/>
    <w:rsid w:val="00AE40FF"/>
    <w:rsid w:val="00B05D09"/>
    <w:rsid w:val="00B17BD8"/>
    <w:rsid w:val="00B42BEE"/>
    <w:rsid w:val="00B64839"/>
    <w:rsid w:val="00B73F76"/>
    <w:rsid w:val="00B915A2"/>
    <w:rsid w:val="00B976F6"/>
    <w:rsid w:val="00BA17E6"/>
    <w:rsid w:val="00BB1D80"/>
    <w:rsid w:val="00BC1E23"/>
    <w:rsid w:val="00BD0707"/>
    <w:rsid w:val="00BD0C8D"/>
    <w:rsid w:val="00BE1282"/>
    <w:rsid w:val="00BF330F"/>
    <w:rsid w:val="00BF3ED5"/>
    <w:rsid w:val="00BF6D6C"/>
    <w:rsid w:val="00C06842"/>
    <w:rsid w:val="00C25BE5"/>
    <w:rsid w:val="00C45614"/>
    <w:rsid w:val="00C45893"/>
    <w:rsid w:val="00C458B2"/>
    <w:rsid w:val="00C51943"/>
    <w:rsid w:val="00C6004C"/>
    <w:rsid w:val="00C6138E"/>
    <w:rsid w:val="00C62841"/>
    <w:rsid w:val="00C74BBF"/>
    <w:rsid w:val="00C848E8"/>
    <w:rsid w:val="00CB1D29"/>
    <w:rsid w:val="00CC0143"/>
    <w:rsid w:val="00CC1D31"/>
    <w:rsid w:val="00CC4F11"/>
    <w:rsid w:val="00CD430F"/>
    <w:rsid w:val="00CE359C"/>
    <w:rsid w:val="00CE678C"/>
    <w:rsid w:val="00CF43AB"/>
    <w:rsid w:val="00D02AA5"/>
    <w:rsid w:val="00D24F74"/>
    <w:rsid w:val="00D26C7B"/>
    <w:rsid w:val="00D316D6"/>
    <w:rsid w:val="00D3400D"/>
    <w:rsid w:val="00D43431"/>
    <w:rsid w:val="00D445B4"/>
    <w:rsid w:val="00D54019"/>
    <w:rsid w:val="00D75E99"/>
    <w:rsid w:val="00D7646B"/>
    <w:rsid w:val="00D93D4B"/>
    <w:rsid w:val="00D964C9"/>
    <w:rsid w:val="00DB450B"/>
    <w:rsid w:val="00DD2531"/>
    <w:rsid w:val="00DE1CA9"/>
    <w:rsid w:val="00DE61EA"/>
    <w:rsid w:val="00E32E55"/>
    <w:rsid w:val="00E37496"/>
    <w:rsid w:val="00E46F7D"/>
    <w:rsid w:val="00E57354"/>
    <w:rsid w:val="00E578D0"/>
    <w:rsid w:val="00E92AC4"/>
    <w:rsid w:val="00EB2885"/>
    <w:rsid w:val="00EC561B"/>
    <w:rsid w:val="00EC573A"/>
    <w:rsid w:val="00ED25DC"/>
    <w:rsid w:val="00EF335D"/>
    <w:rsid w:val="00F0765D"/>
    <w:rsid w:val="00F171C9"/>
    <w:rsid w:val="00F253E8"/>
    <w:rsid w:val="00F360B1"/>
    <w:rsid w:val="00F52796"/>
    <w:rsid w:val="00F67DE2"/>
    <w:rsid w:val="00F77F0A"/>
    <w:rsid w:val="00F867A9"/>
    <w:rsid w:val="00FC1E60"/>
    <w:rsid w:val="00FC76C3"/>
    <w:rsid w:val="00FE3734"/>
    <w:rsid w:val="00FE54B2"/>
    <w:rsid w:val="00FE60EE"/>
    <w:rsid w:val="00FE795A"/>
    <w:rsid w:val="00FF27CD"/>
    <w:rsid w:val="3183EE90"/>
  </w:rsids>
  <m:mathPr>
    <m:mathFont m:val="Cambria Math"/>
    <m:brkBin m:val="before"/>
    <m:brkBinSub m:val="--"/>
    <m:smallFrac m:val="0"/>
    <m:dispDef/>
    <m:lMargin m:val="0"/>
    <m:rMargin m:val="0"/>
    <m:defJc m:val="centerGroup"/>
    <m:wrapIndent m:val="1440"/>
    <m:intLim m:val="subSup"/>
    <m:naryLim m:val="undOvr"/>
  </m:mathPr>
  <w:themeFontLang w:val="en-GB"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34E32"/>
  <w15:chartTrackingRefBased/>
  <w15:docId w15:val="{0A082774-FA06-4A04-BE98-F4B9480C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9433CA"/>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EC561B"/>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EC561B"/>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433CA"/>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EC561B"/>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EC561B"/>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link w:val="ListParagraphChar"/>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FFCD99" w:themeColor="accent1" w:themeTint="66"/>
        <w:left w:val="single" w:sz="4" w:space="0" w:color="FFCD99" w:themeColor="accent1" w:themeTint="66"/>
        <w:bottom w:val="single" w:sz="4" w:space="0" w:color="FFCD99" w:themeColor="accent1" w:themeTint="66"/>
        <w:right w:val="single" w:sz="4" w:space="0" w:color="FFCD99" w:themeColor="accent1" w:themeTint="66"/>
        <w:insideH w:val="single" w:sz="4" w:space="0" w:color="FFCD99" w:themeColor="accent1" w:themeTint="66"/>
        <w:insideV w:val="single" w:sz="4" w:space="0" w:color="FFCD99" w:themeColor="accent1" w:themeTint="66"/>
      </w:tblBorders>
    </w:tblPr>
    <w:tblStylePr w:type="firstRow">
      <w:rPr>
        <w:b/>
        <w:bCs/>
      </w:rPr>
      <w:tblPr/>
      <w:tcPr>
        <w:tcBorders>
          <w:bottom w:val="single" w:sz="12" w:space="0" w:color="FFB466" w:themeColor="accent1" w:themeTint="99"/>
        </w:tcBorders>
      </w:tcPr>
    </w:tblStylePr>
    <w:tblStylePr w:type="lastRow">
      <w:rPr>
        <w:b/>
        <w:bCs/>
      </w:rPr>
      <w:tblPr/>
      <w:tcPr>
        <w:tcBorders>
          <w:top w:val="double" w:sz="2" w:space="0" w:color="FFB466"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FF4635"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styleId="NormalWeb">
    <w:name w:val="Normal (Web)"/>
    <w:basedOn w:val="Normal"/>
    <w:uiPriority w:val="99"/>
    <w:semiHidden/>
    <w:unhideWhenUsed/>
    <w:rsid w:val="00D24F7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E6462"/>
  </w:style>
  <w:style w:type="paragraph" w:customStyle="1" w:styleId="paragraph">
    <w:name w:val="paragraph"/>
    <w:basedOn w:val="Normal"/>
    <w:rsid w:val="002E6462"/>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785792"/>
  </w:style>
  <w:style w:type="character" w:styleId="CommentReference">
    <w:name w:val="annotation reference"/>
    <w:basedOn w:val="DefaultParagraphFont"/>
    <w:uiPriority w:val="99"/>
    <w:semiHidden/>
    <w:unhideWhenUsed/>
    <w:rsid w:val="00D964C9"/>
    <w:rPr>
      <w:sz w:val="16"/>
      <w:szCs w:val="16"/>
    </w:rPr>
  </w:style>
  <w:style w:type="paragraph" w:styleId="CommentText">
    <w:name w:val="annotation text"/>
    <w:basedOn w:val="Normal"/>
    <w:link w:val="CommentTextChar"/>
    <w:uiPriority w:val="99"/>
    <w:unhideWhenUsed/>
    <w:rsid w:val="00D964C9"/>
    <w:rPr>
      <w:sz w:val="20"/>
      <w:szCs w:val="20"/>
    </w:rPr>
  </w:style>
  <w:style w:type="character" w:customStyle="1" w:styleId="CommentTextChar">
    <w:name w:val="Comment Text Char"/>
    <w:basedOn w:val="DefaultParagraphFont"/>
    <w:link w:val="CommentText"/>
    <w:uiPriority w:val="99"/>
    <w:rsid w:val="00D964C9"/>
    <w:rPr>
      <w:sz w:val="20"/>
      <w:szCs w:val="20"/>
    </w:rPr>
  </w:style>
  <w:style w:type="paragraph" w:styleId="CommentSubject">
    <w:name w:val="annotation subject"/>
    <w:basedOn w:val="CommentText"/>
    <w:next w:val="CommentText"/>
    <w:link w:val="CommentSubjectChar"/>
    <w:uiPriority w:val="99"/>
    <w:semiHidden/>
    <w:unhideWhenUsed/>
    <w:rsid w:val="00D964C9"/>
    <w:rPr>
      <w:b/>
      <w:bCs/>
    </w:rPr>
  </w:style>
  <w:style w:type="character" w:customStyle="1" w:styleId="CommentSubjectChar">
    <w:name w:val="Comment Subject Char"/>
    <w:basedOn w:val="CommentTextChar"/>
    <w:link w:val="CommentSubject"/>
    <w:uiPriority w:val="99"/>
    <w:semiHidden/>
    <w:rsid w:val="00D964C9"/>
    <w:rPr>
      <w:b/>
      <w:bCs/>
      <w:sz w:val="20"/>
      <w:szCs w:val="20"/>
    </w:rPr>
  </w:style>
  <w:style w:type="character" w:customStyle="1" w:styleId="ListParagraphChar">
    <w:name w:val="List Paragraph Char"/>
    <w:link w:val="ListParagraph"/>
    <w:uiPriority w:val="34"/>
    <w:locked/>
    <w:rsid w:val="001C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169293856">
      <w:bodyDiv w:val="1"/>
      <w:marLeft w:val="0"/>
      <w:marRight w:val="0"/>
      <w:marTop w:val="0"/>
      <w:marBottom w:val="0"/>
      <w:divBdr>
        <w:top w:val="none" w:sz="0" w:space="0" w:color="auto"/>
        <w:left w:val="none" w:sz="0" w:space="0" w:color="auto"/>
        <w:bottom w:val="none" w:sz="0" w:space="0" w:color="auto"/>
        <w:right w:val="none" w:sz="0" w:space="0" w:color="auto"/>
      </w:divBdr>
    </w:div>
    <w:div w:id="637994686">
      <w:bodyDiv w:val="1"/>
      <w:marLeft w:val="0"/>
      <w:marRight w:val="0"/>
      <w:marTop w:val="0"/>
      <w:marBottom w:val="0"/>
      <w:divBdr>
        <w:top w:val="none" w:sz="0" w:space="0" w:color="auto"/>
        <w:left w:val="none" w:sz="0" w:space="0" w:color="auto"/>
        <w:bottom w:val="none" w:sz="0" w:space="0" w:color="auto"/>
        <w:right w:val="none" w:sz="0" w:space="0" w:color="auto"/>
      </w:divBdr>
    </w:div>
    <w:div w:id="1315177859">
      <w:bodyDiv w:val="1"/>
      <w:marLeft w:val="0"/>
      <w:marRight w:val="0"/>
      <w:marTop w:val="0"/>
      <w:marBottom w:val="0"/>
      <w:divBdr>
        <w:top w:val="none" w:sz="0" w:space="0" w:color="auto"/>
        <w:left w:val="none" w:sz="0" w:space="0" w:color="auto"/>
        <w:bottom w:val="none" w:sz="0" w:space="0" w:color="auto"/>
        <w:right w:val="none" w:sz="0" w:space="0" w:color="auto"/>
      </w:divBdr>
    </w:div>
    <w:div w:id="1611745699">
      <w:bodyDiv w:val="1"/>
      <w:marLeft w:val="0"/>
      <w:marRight w:val="0"/>
      <w:marTop w:val="0"/>
      <w:marBottom w:val="0"/>
      <w:divBdr>
        <w:top w:val="none" w:sz="0" w:space="0" w:color="auto"/>
        <w:left w:val="none" w:sz="0" w:space="0" w:color="auto"/>
        <w:bottom w:val="none" w:sz="0" w:space="0" w:color="auto"/>
        <w:right w:val="none" w:sz="0" w:space="0" w:color="auto"/>
      </w:divBdr>
    </w:div>
    <w:div w:id="1998146358">
      <w:bodyDiv w:val="1"/>
      <w:marLeft w:val="0"/>
      <w:marRight w:val="0"/>
      <w:marTop w:val="0"/>
      <w:marBottom w:val="0"/>
      <w:divBdr>
        <w:top w:val="none" w:sz="0" w:space="0" w:color="auto"/>
        <w:left w:val="none" w:sz="0" w:space="0" w:color="auto"/>
        <w:bottom w:val="none" w:sz="0" w:space="0" w:color="auto"/>
        <w:right w:val="none" w:sz="0" w:space="0" w:color="auto"/>
      </w:divBdr>
    </w:div>
    <w:div w:id="20851063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tant@britishcouncil.org.np"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_multi-page_2022.dotx" TargetMode="External"/></Relationships>
</file>

<file path=word/theme/theme1.xml><?xml version="1.0" encoding="utf-8"?>
<a:theme xmlns:a="http://schemas.openxmlformats.org/drawingml/2006/main" name="Office Theme">
  <a:themeElements>
    <a:clrScheme name="Global templates 2022 - orange">
      <a:dk1>
        <a:srgbClr val="000000"/>
      </a:dk1>
      <a:lt1>
        <a:srgbClr val="FFFFFF"/>
      </a:lt1>
      <a:dk2>
        <a:srgbClr val="230859"/>
      </a:dk2>
      <a:lt2>
        <a:srgbClr val="FFC288"/>
      </a:lt2>
      <a:accent1>
        <a:srgbClr val="FF8200"/>
      </a:accent1>
      <a:accent2>
        <a:srgbClr val="FF00C8"/>
      </a:accent2>
      <a:accent3>
        <a:srgbClr val="00DCFF"/>
      </a:accent3>
      <a:accent4>
        <a:srgbClr val="B25EFF"/>
      </a:accent4>
      <a:accent5>
        <a:srgbClr val="5DEB4B"/>
      </a:accent5>
      <a:accent6>
        <a:srgbClr val="EE0034"/>
      </a:accent6>
      <a:hlink>
        <a:srgbClr val="3344DD"/>
      </a:hlink>
      <a:folHlink>
        <a:srgbClr val="FF46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4d965b-fd22-4c47-9fb0-d310d0535e27">
      <Terms xmlns="http://schemas.microsoft.com/office/infopath/2007/PartnerControls"/>
    </lcf76f155ced4ddcb4097134ff3c332f>
    <TaxCatchAll xmlns="67f70442-0066-4bc7-9dfa-975bf41930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25EC3437A7EF458B1B843252EE8F30" ma:contentTypeVersion="15" ma:contentTypeDescription="Create a new document." ma:contentTypeScope="" ma:versionID="9ad5ddfd8a51fe1b785ac00b1088251d">
  <xsd:schema xmlns:xsd="http://www.w3.org/2001/XMLSchema" xmlns:xs="http://www.w3.org/2001/XMLSchema" xmlns:p="http://schemas.microsoft.com/office/2006/metadata/properties" xmlns:ns2="714d965b-fd22-4c47-9fb0-d310d0535e27" xmlns:ns3="67f70442-0066-4bc7-9dfa-975bf4193003" targetNamespace="http://schemas.microsoft.com/office/2006/metadata/properties" ma:root="true" ma:fieldsID="84c05e748347d19b6d9f542f696ffc5a" ns2:_="" ns3:_="">
    <xsd:import namespace="714d965b-fd22-4c47-9fb0-d310d0535e27"/>
    <xsd:import namespace="67f70442-0066-4bc7-9dfa-975bf41930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965b-fd22-4c47-9fb0-d310d0535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f70442-0066-4bc7-9dfa-975bf41930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9a7bcc-901e-47be-bb55-31f383c58591}" ma:internalName="TaxCatchAll" ma:showField="CatchAllData" ma:web="67f70442-0066-4bc7-9dfa-975bf41930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2.xml><?xml version="1.0" encoding="utf-8"?>
<ds:datastoreItem xmlns:ds="http://schemas.openxmlformats.org/officeDocument/2006/customXml" ds:itemID="{F2D37F44-FAA7-41A8-984C-D2EB846F8E35}">
  <ds:schemaRefs>
    <ds:schemaRef ds:uri="http://purl.org/dc/terms/"/>
    <ds:schemaRef ds:uri="714d965b-fd22-4c47-9fb0-d310d0535e27"/>
    <ds:schemaRef ds:uri="67f70442-0066-4bc7-9dfa-975bf419300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A4026E0-38F8-472A-AB1F-D791546C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d965b-fd22-4c47-9fb0-d310d0535e27"/>
    <ds:schemaRef ds:uri="67f70442-0066-4bc7-9dfa-975bf4193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CCEBD-B4CC-4B9D-B092-2C8861B93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Document_multi-page_2022</Template>
  <TotalTime>0</TotalTime>
  <Pages>5</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Links>
    <vt:vector size="6" baseType="variant">
      <vt:variant>
        <vt:i4>4849727</vt:i4>
      </vt:variant>
      <vt:variant>
        <vt:i4>0</vt:i4>
      </vt:variant>
      <vt:variant>
        <vt:i4>0</vt:i4>
      </vt:variant>
      <vt:variant>
        <vt:i4>5</vt:i4>
      </vt:variant>
      <vt:variant>
        <vt:lpwstr>mailto:consultant@britishcouncil.org.np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Subedi, Sudarshan (Nepal)</dc:creator>
  <cp:keywords/>
  <dc:description/>
  <cp:lastModifiedBy>Lamichhane, Bhogendra (Nepal)</cp:lastModifiedBy>
  <cp:revision>2</cp:revision>
  <cp:lastPrinted>2021-12-17T22:12:00Z</cp:lastPrinted>
  <dcterms:created xsi:type="dcterms:W3CDTF">2025-05-02T13:18:00Z</dcterms:created>
  <dcterms:modified xsi:type="dcterms:W3CDTF">2025-05-02T13:18:00Z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0x0101004525EC3437A7EF458B1B843252EE8F30</vt:lpwstr>
  </property>
  <property fmtid="{D5CDD505-2E9C-101B-9397-08002B2CF9AE}" pid="3" name="MediaServiceImageTags">
    <vt:lpwstr/>
  </property>
  <property fmtid="{D5CDD505-2E9C-101B-9397-08002B2CF9AE}" pid="4" name="GrammarlyDocumentId">
    <vt:lpwstr>a07f0c2c-4bd2-41ac-beaf-4e4999531fdf</vt:lpwstr>
  </property>
</Properties>
</file>